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line="360" w:lineRule="auto"/>
        <w:rPr>
          <w:rFonts w:hint="eastAsia" w:ascii="宋体" w:hAnsi="宋体" w:eastAsia="宋体"/>
          <w:color w:val="000000" w:themeColor="text1"/>
          <w:sz w:val="24"/>
          <w:szCs w:val="28"/>
        </w:rPr>
      </w:pPr>
      <w:r>
        <w:rPr>
          <w:rFonts w:hint="eastAsia" w:ascii="宋体" w:hAnsi="宋体" w:eastAsia="宋体"/>
          <w:color w:val="000000" w:themeColor="text1"/>
          <w:sz w:val="24"/>
          <w:szCs w:val="28"/>
        </w:rPr>
        <w:t>录播设备采购预算:       万</w:t>
      </w:r>
    </w:p>
    <w:p>
      <w:pPr>
        <w:pStyle w:val="2"/>
        <w:spacing w:before="240" w:after="240" w:line="360" w:lineRule="auto"/>
        <w:rPr>
          <w:rFonts w:ascii="宋体" w:hAnsi="宋体" w:eastAsia="宋体"/>
          <w:color w:val="000000" w:themeColor="text1"/>
          <w:sz w:val="24"/>
          <w:szCs w:val="28"/>
        </w:rPr>
      </w:pPr>
      <w:r>
        <w:rPr>
          <w:rFonts w:hint="eastAsia" w:ascii="宋体" w:hAnsi="宋体" w:eastAsia="宋体"/>
          <w:color w:val="000000" w:themeColor="text1"/>
          <w:sz w:val="24"/>
          <w:szCs w:val="28"/>
        </w:rPr>
        <w:t>采购设备清单</w:t>
      </w:r>
    </w:p>
    <w:tbl>
      <w:tblPr>
        <w:tblStyle w:val="5"/>
        <w:tblW w:w="8392" w:type="dxa"/>
        <w:jc w:val="center"/>
        <w:shd w:val="clear" w:color="auto" w:fill="FFFFFF"/>
        <w:tblLayout w:type="fixed"/>
        <w:tblCellMar>
          <w:top w:w="0" w:type="dxa"/>
          <w:left w:w="108" w:type="dxa"/>
          <w:bottom w:w="0" w:type="dxa"/>
          <w:right w:w="108" w:type="dxa"/>
        </w:tblCellMar>
      </w:tblPr>
      <w:tblGrid>
        <w:gridCol w:w="1021"/>
        <w:gridCol w:w="4022"/>
        <w:gridCol w:w="851"/>
        <w:gridCol w:w="953"/>
        <w:gridCol w:w="1545"/>
      </w:tblGrid>
      <w:tr>
        <w:tblPrEx>
          <w:shd w:val="clear" w:color="auto" w:fill="FFFFFF"/>
          <w:tblCellMar>
            <w:top w:w="0" w:type="dxa"/>
            <w:left w:w="108" w:type="dxa"/>
            <w:bottom w:w="0" w:type="dxa"/>
            <w:right w:w="108" w:type="dxa"/>
          </w:tblCellMar>
        </w:tblPrEx>
        <w:trPr>
          <w:trHeight w:val="512" w:hRule="atLeast"/>
          <w:jc w:val="center"/>
        </w:trPr>
        <w:tc>
          <w:tcPr>
            <w:tcW w:w="1021" w:type="dxa"/>
            <w:tcBorders>
              <w:top w:val="single" w:color="000000" w:sz="2" w:space="0"/>
              <w:left w:val="single" w:color="000000" w:sz="2"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序号</w:t>
            </w:r>
          </w:p>
        </w:tc>
        <w:tc>
          <w:tcPr>
            <w:tcW w:w="4022"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货物名称</w:t>
            </w:r>
          </w:p>
        </w:tc>
        <w:tc>
          <w:tcPr>
            <w:tcW w:w="851"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数量</w:t>
            </w:r>
          </w:p>
        </w:tc>
        <w:tc>
          <w:tcPr>
            <w:tcW w:w="953"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单位</w:t>
            </w:r>
          </w:p>
        </w:tc>
        <w:tc>
          <w:tcPr>
            <w:tcW w:w="1545"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备注</w:t>
            </w:r>
          </w:p>
        </w:tc>
      </w:tr>
      <w:tr>
        <w:tblPrEx>
          <w:tblCellMar>
            <w:top w:w="0" w:type="dxa"/>
            <w:left w:w="108" w:type="dxa"/>
            <w:bottom w:w="0" w:type="dxa"/>
            <w:right w:w="108" w:type="dxa"/>
          </w:tblCellMar>
        </w:tblPrEx>
        <w:trPr>
          <w:trHeight w:val="512" w:hRule="atLeast"/>
          <w:jc w:val="center"/>
        </w:trPr>
        <w:tc>
          <w:tcPr>
            <w:tcW w:w="1021" w:type="dxa"/>
            <w:tcBorders>
              <w:top w:val="single" w:color="auto" w:sz="4" w:space="0"/>
              <w:left w:val="single" w:color="000000" w:sz="2"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hint="eastAsia" w:ascii="宋体" w:hAnsi="宋体" w:eastAsia="宋体" w:cs="Times New Roman"/>
                <w:bCs/>
                <w:color w:val="000000" w:themeColor="text1"/>
                <w:szCs w:val="21"/>
              </w:rPr>
              <w:t>1</w:t>
            </w:r>
          </w:p>
        </w:tc>
        <w:tc>
          <w:tcPr>
            <w:tcW w:w="4022"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s="Times New Roman"/>
                <w:color w:val="000000" w:themeColor="text1"/>
                <w:szCs w:val="21"/>
              </w:rPr>
            </w:pPr>
            <w:r>
              <w:rPr>
                <w:rFonts w:hint="eastAsia" w:ascii="宋体" w:hAnsi="宋体" w:eastAsia="宋体"/>
                <w:color w:val="000000" w:themeColor="text1"/>
                <w:szCs w:val="21"/>
              </w:rPr>
              <w:t>多媒体中控主机</w:t>
            </w:r>
          </w:p>
        </w:tc>
        <w:tc>
          <w:tcPr>
            <w:tcW w:w="851"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hint="eastAsia" w:ascii="宋体" w:hAnsi="宋体" w:eastAsia="宋体"/>
                <w:bCs/>
                <w:color w:val="000000" w:themeColor="text1"/>
                <w:szCs w:val="21"/>
              </w:rPr>
              <w:t>1</w:t>
            </w:r>
          </w:p>
        </w:tc>
        <w:tc>
          <w:tcPr>
            <w:tcW w:w="953"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hint="eastAsia" w:ascii="宋体" w:hAnsi="宋体" w:eastAsia="宋体" w:cs="Times New Roman"/>
                <w:bCs/>
                <w:color w:val="000000" w:themeColor="text1"/>
                <w:szCs w:val="21"/>
              </w:rPr>
              <w:t>套</w:t>
            </w:r>
          </w:p>
        </w:tc>
        <w:tc>
          <w:tcPr>
            <w:tcW w:w="1545" w:type="dxa"/>
            <w:vMerge w:val="restart"/>
            <w:tcBorders>
              <w:top w:val="single" w:color="000000" w:sz="2" w:space="0"/>
              <w:left w:val="single" w:color="000000" w:sz="4"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p>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 xml:space="preserve">  </w:t>
            </w:r>
            <w:r>
              <w:rPr>
                <w:rFonts w:hint="eastAsia" w:ascii="宋体" w:hAnsi="宋体" w:eastAsia="宋体" w:cs="Times New Roman"/>
                <w:bCs/>
                <w:color w:val="000000" w:themeColor="text1"/>
                <w:szCs w:val="21"/>
              </w:rPr>
              <w:t>标准配置、</w:t>
            </w:r>
          </w:p>
          <w:p>
            <w:pPr>
              <w:spacing w:line="300" w:lineRule="exact"/>
              <w:jc w:val="center"/>
              <w:rPr>
                <w:rFonts w:ascii="宋体" w:hAnsi="宋体" w:eastAsia="宋体" w:cs="Times New Roman"/>
                <w:bCs/>
                <w:color w:val="000000" w:themeColor="text1"/>
                <w:szCs w:val="21"/>
              </w:rPr>
            </w:pPr>
            <w:r>
              <w:rPr>
                <w:rFonts w:hint="eastAsia" w:ascii="宋体" w:hAnsi="宋体" w:eastAsia="宋体" w:cs="Times New Roman"/>
                <w:bCs/>
                <w:color w:val="000000" w:themeColor="text1"/>
                <w:szCs w:val="21"/>
              </w:rPr>
              <w:t>质保三年</w:t>
            </w:r>
          </w:p>
        </w:tc>
      </w:tr>
      <w:tr>
        <w:tblPrEx>
          <w:tblCellMar>
            <w:top w:w="0" w:type="dxa"/>
            <w:left w:w="108" w:type="dxa"/>
            <w:bottom w:w="0" w:type="dxa"/>
            <w:right w:w="108" w:type="dxa"/>
          </w:tblCellMar>
        </w:tblPrEx>
        <w:trPr>
          <w:trHeight w:val="512" w:hRule="atLeast"/>
          <w:jc w:val="center"/>
        </w:trPr>
        <w:tc>
          <w:tcPr>
            <w:tcW w:w="1021" w:type="dxa"/>
            <w:tcBorders>
              <w:top w:val="single" w:color="auto" w:sz="4"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hint="eastAsia" w:ascii="宋体" w:hAnsi="宋体" w:eastAsia="宋体" w:cs="Times New Roman"/>
                <w:bCs/>
                <w:color w:val="000000" w:themeColor="text1"/>
                <w:szCs w:val="21"/>
              </w:rPr>
              <w:t>2</w:t>
            </w:r>
          </w:p>
        </w:tc>
        <w:tc>
          <w:tcPr>
            <w:tcW w:w="4022"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s="Times New Roman"/>
                <w:color w:val="000000" w:themeColor="text1"/>
                <w:szCs w:val="21"/>
              </w:rPr>
            </w:pPr>
            <w:r>
              <w:rPr>
                <w:rFonts w:hint="eastAsia" w:ascii="宋体" w:hAnsi="宋体" w:eastAsia="宋体"/>
                <w:color w:val="000000" w:themeColor="text1"/>
                <w:szCs w:val="21"/>
              </w:rPr>
              <w:t>控制平台</w:t>
            </w:r>
          </w:p>
        </w:tc>
        <w:tc>
          <w:tcPr>
            <w:tcW w:w="851" w:type="dxa"/>
            <w:tcBorders>
              <w:top w:val="single" w:color="auto" w:sz="4"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hint="eastAsia" w:ascii="宋体" w:hAnsi="宋体" w:eastAsia="宋体"/>
                <w:bCs/>
                <w:color w:val="000000" w:themeColor="text1"/>
                <w:szCs w:val="21"/>
              </w:rPr>
              <w:t>1</w:t>
            </w:r>
          </w:p>
        </w:tc>
        <w:tc>
          <w:tcPr>
            <w:tcW w:w="953" w:type="dxa"/>
            <w:tcBorders>
              <w:top w:val="single" w:color="auto" w:sz="4"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hint="eastAsia" w:ascii="宋体" w:hAnsi="宋体" w:eastAsia="宋体"/>
                <w:bCs/>
                <w:color w:val="000000" w:themeColor="text1"/>
                <w:szCs w:val="21"/>
              </w:rPr>
              <w:t>套</w:t>
            </w:r>
          </w:p>
        </w:tc>
        <w:tc>
          <w:tcPr>
            <w:tcW w:w="1545" w:type="dxa"/>
            <w:vMerge w:val="continue"/>
            <w:tcBorders>
              <w:left w:val="single" w:color="000000" w:sz="4"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Cs w:val="21"/>
              </w:rPr>
            </w:pPr>
          </w:p>
        </w:tc>
      </w:tr>
      <w:tr>
        <w:tblPrEx>
          <w:tblCellMar>
            <w:top w:w="0" w:type="dxa"/>
            <w:left w:w="108" w:type="dxa"/>
            <w:bottom w:w="0" w:type="dxa"/>
            <w:right w:w="108" w:type="dxa"/>
          </w:tblCellMar>
        </w:tblPrEx>
        <w:trPr>
          <w:trHeight w:val="512" w:hRule="atLeast"/>
          <w:jc w:val="center"/>
        </w:trPr>
        <w:tc>
          <w:tcPr>
            <w:tcW w:w="1021"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ascii="宋体" w:hAnsi="宋体" w:eastAsia="宋体" w:cs="Times New Roman"/>
                <w:bCs/>
                <w:color w:val="000000" w:themeColor="text1"/>
                <w:szCs w:val="21"/>
              </w:rPr>
              <w:t>3</w:t>
            </w:r>
          </w:p>
        </w:tc>
        <w:tc>
          <w:tcPr>
            <w:tcW w:w="4022"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s="Times New Roman"/>
                <w:color w:val="000000" w:themeColor="text1"/>
                <w:szCs w:val="21"/>
              </w:rPr>
            </w:pPr>
            <w:r>
              <w:rPr>
                <w:rFonts w:hint="eastAsia" w:ascii="宋体" w:hAnsi="宋体" w:eastAsia="宋体"/>
                <w:color w:val="000000" w:themeColor="text1"/>
                <w:szCs w:val="21"/>
              </w:rPr>
              <w:t>无线投屏</w:t>
            </w:r>
          </w:p>
        </w:tc>
        <w:tc>
          <w:tcPr>
            <w:tcW w:w="851"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hint="eastAsia" w:ascii="宋体" w:hAnsi="宋体" w:eastAsia="宋体"/>
                <w:bCs/>
                <w:color w:val="000000" w:themeColor="text1"/>
                <w:szCs w:val="21"/>
              </w:rPr>
              <w:t>1</w:t>
            </w:r>
          </w:p>
        </w:tc>
        <w:tc>
          <w:tcPr>
            <w:tcW w:w="953"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hint="eastAsia" w:ascii="宋体" w:hAnsi="宋体" w:eastAsia="宋体" w:cs="Times New Roman"/>
                <w:bCs/>
                <w:color w:val="000000" w:themeColor="text1"/>
                <w:szCs w:val="21"/>
              </w:rPr>
              <w:t>套</w:t>
            </w:r>
          </w:p>
        </w:tc>
        <w:tc>
          <w:tcPr>
            <w:tcW w:w="1545" w:type="dxa"/>
            <w:vMerge w:val="continue"/>
            <w:tcBorders>
              <w:left w:val="single" w:color="000000" w:sz="4"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Cs w:val="21"/>
              </w:rPr>
            </w:pPr>
          </w:p>
        </w:tc>
      </w:tr>
      <w:tr>
        <w:tblPrEx>
          <w:tblCellMar>
            <w:top w:w="0" w:type="dxa"/>
            <w:left w:w="108" w:type="dxa"/>
            <w:bottom w:w="0" w:type="dxa"/>
            <w:right w:w="108" w:type="dxa"/>
          </w:tblCellMar>
        </w:tblPrEx>
        <w:trPr>
          <w:trHeight w:val="512" w:hRule="atLeast"/>
          <w:jc w:val="center"/>
        </w:trPr>
        <w:tc>
          <w:tcPr>
            <w:tcW w:w="1021"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ascii="宋体" w:hAnsi="宋体" w:eastAsia="宋体" w:cs="Times New Roman"/>
                <w:bCs/>
                <w:color w:val="000000" w:themeColor="text1"/>
                <w:szCs w:val="21"/>
              </w:rPr>
              <w:t>4</w:t>
            </w:r>
          </w:p>
        </w:tc>
        <w:tc>
          <w:tcPr>
            <w:tcW w:w="4022"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s="Times New Roman"/>
                <w:color w:val="000000" w:themeColor="text1"/>
                <w:szCs w:val="21"/>
              </w:rPr>
            </w:pPr>
            <w:r>
              <w:rPr>
                <w:rFonts w:hint="eastAsia" w:ascii="宋体" w:hAnsi="宋体" w:eastAsia="宋体"/>
                <w:color w:val="000000" w:themeColor="text1"/>
                <w:szCs w:val="21"/>
              </w:rPr>
              <w:t>学生小组交互系统</w:t>
            </w:r>
          </w:p>
        </w:tc>
        <w:tc>
          <w:tcPr>
            <w:tcW w:w="851"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hint="eastAsia" w:ascii="宋体" w:hAnsi="宋体" w:eastAsia="宋体"/>
                <w:bCs/>
                <w:color w:val="000000" w:themeColor="text1"/>
                <w:szCs w:val="21"/>
              </w:rPr>
              <w:t>2</w:t>
            </w:r>
          </w:p>
        </w:tc>
        <w:tc>
          <w:tcPr>
            <w:tcW w:w="953"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cs="Times New Roman"/>
                <w:bCs/>
                <w:color w:val="000000" w:themeColor="text1"/>
                <w:szCs w:val="21"/>
              </w:rPr>
            </w:pPr>
            <w:r>
              <w:rPr>
                <w:rFonts w:hint="eastAsia" w:ascii="宋体" w:hAnsi="宋体" w:eastAsia="宋体" w:cs="Times New Roman"/>
                <w:bCs/>
                <w:color w:val="000000" w:themeColor="text1"/>
                <w:szCs w:val="21"/>
              </w:rPr>
              <w:t>套</w:t>
            </w:r>
          </w:p>
        </w:tc>
        <w:tc>
          <w:tcPr>
            <w:tcW w:w="1545" w:type="dxa"/>
            <w:tcBorders>
              <w:left w:val="single" w:color="000000" w:sz="4" w:space="0"/>
              <w:right w:val="single" w:color="000000" w:sz="4" w:space="0"/>
            </w:tcBorders>
            <w:shd w:val="clear" w:color="auto" w:fill="FFFFFF"/>
            <w:vAlign w:val="center"/>
          </w:tcPr>
          <w:p>
            <w:pPr>
              <w:spacing w:line="300" w:lineRule="exact"/>
              <w:jc w:val="center"/>
              <w:rPr>
                <w:rFonts w:ascii="宋体" w:hAnsi="宋体" w:eastAsia="宋体" w:cs="Times New Roman"/>
                <w:b/>
                <w:bCs/>
                <w:color w:val="000000" w:themeColor="text1"/>
                <w:szCs w:val="21"/>
              </w:rPr>
            </w:pPr>
          </w:p>
        </w:tc>
      </w:tr>
      <w:tr>
        <w:tblPrEx>
          <w:tblCellMar>
            <w:top w:w="0" w:type="dxa"/>
            <w:left w:w="108" w:type="dxa"/>
            <w:bottom w:w="0" w:type="dxa"/>
            <w:right w:w="108" w:type="dxa"/>
          </w:tblCellMar>
        </w:tblPrEx>
        <w:trPr>
          <w:trHeight w:val="512" w:hRule="atLeast"/>
          <w:jc w:val="center"/>
        </w:trPr>
        <w:tc>
          <w:tcPr>
            <w:tcW w:w="1021"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5</w:t>
            </w:r>
          </w:p>
        </w:tc>
        <w:tc>
          <w:tcPr>
            <w:tcW w:w="4022"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olor w:val="000000" w:themeColor="text1"/>
                <w:szCs w:val="21"/>
              </w:rPr>
            </w:pPr>
            <w:r>
              <w:rPr>
                <w:rFonts w:hint="eastAsia" w:ascii="宋体" w:hAnsi="宋体" w:eastAsia="宋体"/>
                <w:color w:val="000000" w:themeColor="text1"/>
                <w:szCs w:val="21"/>
              </w:rPr>
              <w:t>教师交互显示系统</w:t>
            </w:r>
          </w:p>
        </w:tc>
        <w:tc>
          <w:tcPr>
            <w:tcW w:w="851"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1</w:t>
            </w:r>
          </w:p>
        </w:tc>
        <w:tc>
          <w:tcPr>
            <w:tcW w:w="953"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套</w:t>
            </w:r>
          </w:p>
        </w:tc>
        <w:tc>
          <w:tcPr>
            <w:tcW w:w="1545" w:type="dxa"/>
            <w:tcBorders>
              <w:left w:val="single" w:color="000000" w:sz="4" w:space="0"/>
              <w:right w:val="single" w:color="000000" w:sz="4" w:space="0"/>
            </w:tcBorders>
            <w:shd w:val="clear" w:color="auto" w:fill="FFFFFF"/>
            <w:vAlign w:val="center"/>
          </w:tcPr>
          <w:p>
            <w:pPr>
              <w:spacing w:line="300" w:lineRule="exact"/>
              <w:jc w:val="center"/>
              <w:rPr>
                <w:rFonts w:ascii="宋体" w:hAnsi="宋体" w:eastAsia="宋体"/>
                <w:b/>
                <w:bCs/>
                <w:color w:val="000000" w:themeColor="text1"/>
                <w:szCs w:val="21"/>
              </w:rPr>
            </w:pPr>
          </w:p>
        </w:tc>
      </w:tr>
      <w:tr>
        <w:tblPrEx>
          <w:tblCellMar>
            <w:top w:w="0" w:type="dxa"/>
            <w:left w:w="108" w:type="dxa"/>
            <w:bottom w:w="0" w:type="dxa"/>
            <w:right w:w="108" w:type="dxa"/>
          </w:tblCellMar>
        </w:tblPrEx>
        <w:trPr>
          <w:trHeight w:val="512" w:hRule="atLeast"/>
          <w:jc w:val="center"/>
        </w:trPr>
        <w:tc>
          <w:tcPr>
            <w:tcW w:w="1021"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6</w:t>
            </w:r>
          </w:p>
        </w:tc>
        <w:tc>
          <w:tcPr>
            <w:tcW w:w="4022"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olor w:val="000000" w:themeColor="text1"/>
                <w:szCs w:val="21"/>
              </w:rPr>
            </w:pPr>
            <w:r>
              <w:rPr>
                <w:rFonts w:hint="eastAsia" w:ascii="宋体" w:hAnsi="宋体" w:eastAsia="宋体"/>
                <w:color w:val="000000" w:themeColor="text1"/>
                <w:szCs w:val="21"/>
              </w:rPr>
              <w:t>功放主机</w:t>
            </w:r>
          </w:p>
        </w:tc>
        <w:tc>
          <w:tcPr>
            <w:tcW w:w="851"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1</w:t>
            </w:r>
          </w:p>
        </w:tc>
        <w:tc>
          <w:tcPr>
            <w:tcW w:w="953"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套</w:t>
            </w:r>
          </w:p>
        </w:tc>
        <w:tc>
          <w:tcPr>
            <w:tcW w:w="1545" w:type="dxa"/>
            <w:tcBorders>
              <w:left w:val="single" w:color="000000" w:sz="4" w:space="0"/>
              <w:right w:val="single" w:color="000000" w:sz="4" w:space="0"/>
            </w:tcBorders>
            <w:shd w:val="clear" w:color="auto" w:fill="FFFFFF"/>
            <w:vAlign w:val="center"/>
          </w:tcPr>
          <w:p>
            <w:pPr>
              <w:spacing w:line="300" w:lineRule="exact"/>
              <w:jc w:val="center"/>
              <w:rPr>
                <w:rFonts w:ascii="宋体" w:hAnsi="宋体" w:eastAsia="宋体"/>
                <w:b/>
                <w:bCs/>
                <w:color w:val="000000" w:themeColor="text1"/>
                <w:szCs w:val="21"/>
              </w:rPr>
            </w:pPr>
          </w:p>
        </w:tc>
      </w:tr>
      <w:tr>
        <w:tblPrEx>
          <w:tblCellMar>
            <w:top w:w="0" w:type="dxa"/>
            <w:left w:w="108" w:type="dxa"/>
            <w:bottom w:w="0" w:type="dxa"/>
            <w:right w:w="108" w:type="dxa"/>
          </w:tblCellMar>
        </w:tblPrEx>
        <w:trPr>
          <w:trHeight w:val="512" w:hRule="atLeast"/>
          <w:jc w:val="center"/>
        </w:trPr>
        <w:tc>
          <w:tcPr>
            <w:tcW w:w="1021"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7</w:t>
            </w:r>
          </w:p>
        </w:tc>
        <w:tc>
          <w:tcPr>
            <w:tcW w:w="4022"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olor w:val="000000" w:themeColor="text1"/>
                <w:szCs w:val="21"/>
              </w:rPr>
            </w:pPr>
            <w:r>
              <w:rPr>
                <w:rFonts w:hint="eastAsia" w:ascii="宋体" w:hAnsi="宋体" w:eastAsia="宋体"/>
                <w:color w:val="000000" w:themeColor="text1"/>
                <w:szCs w:val="21"/>
              </w:rPr>
              <w:t>音响</w:t>
            </w:r>
          </w:p>
        </w:tc>
        <w:tc>
          <w:tcPr>
            <w:tcW w:w="851"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2</w:t>
            </w:r>
          </w:p>
        </w:tc>
        <w:tc>
          <w:tcPr>
            <w:tcW w:w="953"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套</w:t>
            </w:r>
          </w:p>
        </w:tc>
        <w:tc>
          <w:tcPr>
            <w:tcW w:w="1545" w:type="dxa"/>
            <w:tcBorders>
              <w:left w:val="single" w:color="000000" w:sz="4" w:space="0"/>
              <w:right w:val="single" w:color="000000" w:sz="4" w:space="0"/>
            </w:tcBorders>
            <w:shd w:val="clear" w:color="auto" w:fill="FFFFFF"/>
            <w:vAlign w:val="center"/>
          </w:tcPr>
          <w:p>
            <w:pPr>
              <w:spacing w:line="300" w:lineRule="exact"/>
              <w:jc w:val="center"/>
              <w:rPr>
                <w:rFonts w:ascii="宋体" w:hAnsi="宋体" w:eastAsia="宋体"/>
                <w:b/>
                <w:bCs/>
                <w:color w:val="000000" w:themeColor="text1"/>
                <w:szCs w:val="21"/>
              </w:rPr>
            </w:pPr>
          </w:p>
        </w:tc>
      </w:tr>
      <w:tr>
        <w:tblPrEx>
          <w:tblCellMar>
            <w:top w:w="0" w:type="dxa"/>
            <w:left w:w="108" w:type="dxa"/>
            <w:bottom w:w="0" w:type="dxa"/>
            <w:right w:w="108" w:type="dxa"/>
          </w:tblCellMar>
        </w:tblPrEx>
        <w:trPr>
          <w:trHeight w:val="512" w:hRule="atLeast"/>
          <w:jc w:val="center"/>
        </w:trPr>
        <w:tc>
          <w:tcPr>
            <w:tcW w:w="1021"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8</w:t>
            </w:r>
          </w:p>
        </w:tc>
        <w:tc>
          <w:tcPr>
            <w:tcW w:w="4022"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olor w:val="000000" w:themeColor="text1"/>
                <w:szCs w:val="21"/>
              </w:rPr>
            </w:pPr>
            <w:r>
              <w:rPr>
                <w:rFonts w:hint="eastAsia" w:ascii="宋体" w:hAnsi="宋体" w:eastAsia="宋体"/>
                <w:color w:val="000000" w:themeColor="text1"/>
                <w:szCs w:val="21"/>
              </w:rPr>
              <w:t>网络摄像头</w:t>
            </w:r>
          </w:p>
        </w:tc>
        <w:tc>
          <w:tcPr>
            <w:tcW w:w="851"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2</w:t>
            </w:r>
          </w:p>
        </w:tc>
        <w:tc>
          <w:tcPr>
            <w:tcW w:w="953"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套</w:t>
            </w:r>
          </w:p>
        </w:tc>
        <w:tc>
          <w:tcPr>
            <w:tcW w:w="1545" w:type="dxa"/>
            <w:tcBorders>
              <w:left w:val="single" w:color="000000" w:sz="4" w:space="0"/>
              <w:right w:val="single" w:color="000000" w:sz="4" w:space="0"/>
            </w:tcBorders>
            <w:shd w:val="clear" w:color="auto" w:fill="FFFFFF"/>
            <w:vAlign w:val="center"/>
          </w:tcPr>
          <w:p>
            <w:pPr>
              <w:spacing w:line="300" w:lineRule="exact"/>
              <w:jc w:val="center"/>
              <w:rPr>
                <w:rFonts w:ascii="宋体" w:hAnsi="宋体" w:eastAsia="宋体"/>
                <w:b/>
                <w:bCs/>
                <w:color w:val="000000" w:themeColor="text1"/>
                <w:szCs w:val="21"/>
              </w:rPr>
            </w:pPr>
          </w:p>
        </w:tc>
      </w:tr>
      <w:tr>
        <w:tblPrEx>
          <w:tblCellMar>
            <w:top w:w="0" w:type="dxa"/>
            <w:left w:w="108" w:type="dxa"/>
            <w:bottom w:w="0" w:type="dxa"/>
            <w:right w:w="108" w:type="dxa"/>
          </w:tblCellMar>
        </w:tblPrEx>
        <w:trPr>
          <w:trHeight w:val="512" w:hRule="atLeast"/>
          <w:jc w:val="center"/>
        </w:trPr>
        <w:tc>
          <w:tcPr>
            <w:tcW w:w="1021" w:type="dxa"/>
            <w:tcBorders>
              <w:top w:val="single" w:color="000000" w:sz="2" w:space="0"/>
              <w:left w:val="single" w:color="000000" w:sz="2"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9</w:t>
            </w:r>
          </w:p>
        </w:tc>
        <w:tc>
          <w:tcPr>
            <w:tcW w:w="4022" w:type="dxa"/>
            <w:tcBorders>
              <w:top w:val="single" w:color="000000" w:sz="2" w:space="0"/>
              <w:left w:val="single" w:color="000000" w:sz="4" w:space="0"/>
              <w:bottom w:val="single" w:color="000000" w:sz="2" w:space="0"/>
              <w:right w:val="single" w:color="000000" w:sz="4" w:space="0"/>
            </w:tcBorders>
            <w:shd w:val="clear" w:color="auto" w:fill="FFFFFF"/>
            <w:vAlign w:val="center"/>
          </w:tcPr>
          <w:p>
            <w:pPr>
              <w:jc w:val="center"/>
              <w:rPr>
                <w:rFonts w:ascii="宋体" w:hAnsi="宋体" w:eastAsia="宋体"/>
                <w:color w:val="000000" w:themeColor="text1"/>
                <w:szCs w:val="21"/>
              </w:rPr>
            </w:pPr>
            <w:r>
              <w:rPr>
                <w:rFonts w:hint="eastAsia" w:ascii="宋体" w:hAnsi="宋体" w:eastAsia="宋体"/>
                <w:color w:val="000000" w:themeColor="text1"/>
                <w:szCs w:val="21"/>
              </w:rPr>
              <w:t>提词器</w:t>
            </w:r>
          </w:p>
        </w:tc>
        <w:tc>
          <w:tcPr>
            <w:tcW w:w="851"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2</w:t>
            </w:r>
          </w:p>
        </w:tc>
        <w:tc>
          <w:tcPr>
            <w:tcW w:w="953" w:type="dxa"/>
            <w:tcBorders>
              <w:top w:val="single" w:color="000000" w:sz="2" w:space="0"/>
              <w:left w:val="single" w:color="000000" w:sz="4" w:space="0"/>
              <w:bottom w:val="single" w:color="000000" w:sz="2"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套</w:t>
            </w:r>
          </w:p>
        </w:tc>
        <w:tc>
          <w:tcPr>
            <w:tcW w:w="1545" w:type="dxa"/>
            <w:tcBorders>
              <w:left w:val="single" w:color="000000" w:sz="4" w:space="0"/>
              <w:right w:val="single" w:color="000000" w:sz="4" w:space="0"/>
            </w:tcBorders>
            <w:shd w:val="clear" w:color="auto" w:fill="FFFFFF"/>
            <w:vAlign w:val="center"/>
          </w:tcPr>
          <w:p>
            <w:pPr>
              <w:spacing w:line="300" w:lineRule="exact"/>
              <w:jc w:val="center"/>
              <w:rPr>
                <w:rFonts w:ascii="宋体" w:hAnsi="宋体" w:eastAsia="宋体"/>
                <w:b/>
                <w:bCs/>
                <w:color w:val="000000" w:themeColor="text1"/>
                <w:szCs w:val="21"/>
              </w:rPr>
            </w:pPr>
          </w:p>
        </w:tc>
      </w:tr>
      <w:tr>
        <w:tblPrEx>
          <w:tblCellMar>
            <w:top w:w="0" w:type="dxa"/>
            <w:left w:w="108" w:type="dxa"/>
            <w:bottom w:w="0" w:type="dxa"/>
            <w:right w:w="108" w:type="dxa"/>
          </w:tblCellMar>
        </w:tblPrEx>
        <w:trPr>
          <w:trHeight w:val="512" w:hRule="atLeast"/>
          <w:jc w:val="center"/>
        </w:trPr>
        <w:tc>
          <w:tcPr>
            <w:tcW w:w="1021" w:type="dxa"/>
            <w:tcBorders>
              <w:top w:val="single" w:color="000000" w:sz="2" w:space="0"/>
              <w:left w:val="single" w:color="000000" w:sz="2"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10</w:t>
            </w:r>
          </w:p>
        </w:tc>
        <w:tc>
          <w:tcPr>
            <w:tcW w:w="4022" w:type="dxa"/>
            <w:tcBorders>
              <w:top w:val="single" w:color="000000" w:sz="2" w:space="0"/>
              <w:left w:val="single" w:color="000000" w:sz="4" w:space="0"/>
              <w:bottom w:val="single" w:color="auto" w:sz="4" w:space="0"/>
              <w:right w:val="single" w:color="000000" w:sz="4" w:space="0"/>
            </w:tcBorders>
            <w:shd w:val="clear" w:color="auto" w:fill="FFFFFF"/>
            <w:vAlign w:val="center"/>
          </w:tcPr>
          <w:p>
            <w:pPr>
              <w:jc w:val="center"/>
              <w:rPr>
                <w:rFonts w:ascii="宋体" w:hAnsi="宋体" w:eastAsia="宋体"/>
                <w:color w:val="000000" w:themeColor="text1"/>
                <w:szCs w:val="21"/>
              </w:rPr>
            </w:pPr>
            <w:r>
              <w:rPr>
                <w:rFonts w:hint="eastAsia" w:ascii="宋体" w:hAnsi="宋体" w:eastAsia="宋体"/>
                <w:color w:val="000000" w:themeColor="text1"/>
                <w:szCs w:val="21"/>
              </w:rPr>
              <w:t>移动支架（55-86寸）</w:t>
            </w:r>
          </w:p>
        </w:tc>
        <w:tc>
          <w:tcPr>
            <w:tcW w:w="851"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3</w:t>
            </w:r>
          </w:p>
        </w:tc>
        <w:tc>
          <w:tcPr>
            <w:tcW w:w="953" w:type="dxa"/>
            <w:tcBorders>
              <w:top w:val="single" w:color="000000" w:sz="2"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bCs/>
                <w:color w:val="000000" w:themeColor="text1"/>
                <w:szCs w:val="21"/>
              </w:rPr>
            </w:pPr>
            <w:r>
              <w:rPr>
                <w:rFonts w:hint="eastAsia" w:ascii="宋体" w:hAnsi="宋体" w:eastAsia="宋体"/>
                <w:bCs/>
                <w:color w:val="000000" w:themeColor="text1"/>
                <w:szCs w:val="21"/>
              </w:rPr>
              <w:t>套</w:t>
            </w:r>
          </w:p>
        </w:tc>
        <w:tc>
          <w:tcPr>
            <w:tcW w:w="1545" w:type="dxa"/>
            <w:tcBorders>
              <w:left w:val="single" w:color="000000" w:sz="4" w:space="0"/>
              <w:bottom w:val="single" w:color="auto" w:sz="4" w:space="0"/>
              <w:right w:val="single" w:color="000000" w:sz="4" w:space="0"/>
            </w:tcBorders>
            <w:shd w:val="clear" w:color="auto" w:fill="FFFFFF"/>
            <w:vAlign w:val="center"/>
          </w:tcPr>
          <w:p>
            <w:pPr>
              <w:spacing w:line="300" w:lineRule="exact"/>
              <w:jc w:val="center"/>
              <w:rPr>
                <w:rFonts w:ascii="宋体" w:hAnsi="宋体" w:eastAsia="宋体"/>
                <w:b/>
                <w:bCs/>
                <w:color w:val="000000" w:themeColor="text1"/>
                <w:szCs w:val="21"/>
              </w:rPr>
            </w:pPr>
          </w:p>
        </w:tc>
      </w:tr>
    </w:tbl>
    <w:p/>
    <w:p>
      <w:pPr>
        <w:pStyle w:val="2"/>
        <w:spacing w:before="240" w:after="240" w:line="360" w:lineRule="auto"/>
        <w:rPr>
          <w:rFonts w:ascii="宋体" w:hAnsi="宋体" w:eastAsia="宋体"/>
          <w:sz w:val="24"/>
          <w:szCs w:val="28"/>
        </w:rPr>
      </w:pPr>
      <w:r>
        <w:rPr>
          <w:rFonts w:hint="eastAsia" w:ascii="宋体" w:hAnsi="宋体" w:eastAsia="宋体"/>
          <w:sz w:val="24"/>
          <w:szCs w:val="28"/>
        </w:rPr>
        <w:t>1、多媒体中控主机</w:t>
      </w:r>
    </w:p>
    <w:tbl>
      <w:tblPr>
        <w:tblStyle w:val="5"/>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指标项</w:t>
            </w:r>
          </w:p>
        </w:tc>
        <w:tc>
          <w:tcPr>
            <w:tcW w:w="6869"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0" w:type="dxa"/>
            <w:vMerge w:val="restar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基础功能</w:t>
            </w: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整机要求采用不超过1.5U高度，方便在机箱内安装部署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HDMI 1.4视频输入接口≥3个，输出接口≥3个，最高支持3840x2160@30Hz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VGA视频输入接口≥1个，输出接口≥1个，最高支持1080p@60Hz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立体声3.5mm音频接口≥1个，麦克风3.5mm接口≥1个，麦克风6.5mm音频接口≥1个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USB 2.0接口≥6个，输入≥2, 输出≥4。支持电脑和笔记本设备的触控回传，方便教师开展移动教学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color w:val="000000"/>
                <w:kern w:val="0"/>
                <w:szCs w:val="21"/>
              </w:rPr>
              <w:t>★为满足教室内周边设备入网需求，以及未来的扩展性，中控提供千兆自适应网口≥8个，同时为满足接口设备供电需求，其中≥4个网口需支持PoE+供电，</w:t>
            </w:r>
            <w:r>
              <w:rPr>
                <w:rFonts w:hint="eastAsia" w:ascii="宋体" w:hAnsi="宋体" w:eastAsia="宋体" w:cs="宋体"/>
                <w:color w:val="000000" w:themeColor="text1"/>
                <w:kern w:val="0"/>
                <w:szCs w:val="21"/>
              </w:rPr>
              <w:t>提供产品实物照片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color w:val="000000"/>
                <w:kern w:val="0"/>
                <w:szCs w:val="21"/>
              </w:rPr>
              <w:t>★</w:t>
            </w:r>
            <w:r>
              <w:rPr>
                <w:rFonts w:hint="eastAsia" w:ascii="宋体" w:hAnsi="宋体" w:eastAsia="宋体" w:cs="宋体"/>
                <w:kern w:val="0"/>
                <w:szCs w:val="21"/>
              </w:rPr>
              <w:t>要求RS232口≥5个，RS485≥4个，IR≥5个，支持对投影机、读卡器、功放等设备的控制，提供产品实物照片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设备提供I/O口≥6个，可支持IO输入和输出设备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设备提供≥4个可控制DC 12V电源输出，可给通信设备供电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提供≥5个PDU电源，对外提供最高AC220V-2.5A交流电源，其中3个为通用电源，2个为幕布专</w:t>
            </w:r>
            <w:r>
              <w:rPr>
                <w:rFonts w:hint="eastAsia" w:ascii="宋体" w:hAnsi="宋体" w:eastAsia="宋体" w:cs="宋体"/>
                <w:color w:val="000000"/>
                <w:kern w:val="0"/>
                <w:szCs w:val="21"/>
              </w:rPr>
              <w:t>用电源。为保障设备安全，中控配备独立保险丝。具备延时断电功能，保证投影机、计算机等设备系统正常关机后才切断设备电源，避免强制断电对设备造成损害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支持投影机灯泡使用时长读取功能，统计真实的投影机灯泡用时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设备具备自我检测功能，可实时分析内部各系统模块是否正常，若发现异常情况，可将信息快速发送给远程管理平台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★设备支持接口连接性检测，可自动识别连接线是否脱落。并发送脱落报警给远程管理平台，投提供接线脱落的报警截图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40" w:type="dxa"/>
            <w:vMerge w:val="continue"/>
            <w:vAlign w:val="center"/>
          </w:tcPr>
          <w:p>
            <w:pPr>
              <w:widowControl/>
              <w:jc w:val="left"/>
              <w:rPr>
                <w:rFonts w:ascii="宋体" w:hAnsi="宋体" w:eastAsia="宋体" w:cs="宋体"/>
                <w:kern w:val="0"/>
                <w:szCs w:val="21"/>
              </w:rPr>
            </w:pPr>
          </w:p>
        </w:tc>
        <w:tc>
          <w:tcPr>
            <w:tcW w:w="6869"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★设备具备电量检测芯片，可实时监测外接设备的实时耗电情况，并将能耗数据发送给远程管理平台，提供设备管理平台上显示能耗的统计界面截图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40"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★产品资质</w:t>
            </w:r>
          </w:p>
        </w:tc>
        <w:tc>
          <w:tcPr>
            <w:tcW w:w="6869"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须具备社会责任意识，保证绿色生产，具备有害物质控制管理能力，提供</w:t>
            </w:r>
            <w:r>
              <w:rPr>
                <w:rFonts w:ascii="宋体" w:hAnsi="宋体" w:eastAsia="宋体" w:cs="宋体"/>
                <w:kern w:val="0"/>
                <w:szCs w:val="21"/>
              </w:rPr>
              <w:t>QC080000体系认证证书复印件</w:t>
            </w:r>
          </w:p>
        </w:tc>
      </w:tr>
    </w:tbl>
    <w:p>
      <w:pPr>
        <w:pStyle w:val="2"/>
        <w:spacing w:before="240" w:after="240" w:line="360" w:lineRule="auto"/>
        <w:rPr>
          <w:rFonts w:ascii="宋体" w:hAnsi="宋体" w:eastAsia="宋体"/>
          <w:sz w:val="24"/>
          <w:szCs w:val="28"/>
        </w:rPr>
      </w:pPr>
      <w:r>
        <w:rPr>
          <w:rFonts w:ascii="宋体" w:hAnsi="宋体" w:eastAsia="宋体"/>
          <w:sz w:val="24"/>
          <w:szCs w:val="28"/>
        </w:rPr>
        <w:t>2</w:t>
      </w:r>
      <w:r>
        <w:rPr>
          <w:rFonts w:hint="eastAsia" w:ascii="宋体" w:hAnsi="宋体" w:eastAsia="宋体"/>
          <w:sz w:val="24"/>
          <w:szCs w:val="28"/>
        </w:rPr>
        <w:t>、控制平台</w:t>
      </w:r>
    </w:p>
    <w:tbl>
      <w:tblPr>
        <w:tblStyle w:val="5"/>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指标项</w:t>
            </w:r>
          </w:p>
        </w:tc>
        <w:tc>
          <w:tcPr>
            <w:tcW w:w="6854"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
                <w:bCs/>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restar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基本功能</w:t>
            </w: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≥10寸电容式触摸屏，分辨率≥1280*800，给用户全高清的视觉体验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可定时让触摸屏进入低功耗模式，触控唤醒，节能环保、延长产品使用寿命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灵活安装控制面板（桌面或者壁挂安装），满足不同客户的需求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提供千兆网口≥1个，USB接口≥2个，USB支持过流保护功能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支持上课、下课的场景联动，用户登录成功后，系统自动开启教室内的教学设备；用户点击“下课”，系统自动关闭教室内的教学设备，智能地为教师提供授课环境，无需老师费心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支持免认证方式，用户无须进行刷卡或输入账号的操作，也可控制教室设备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支持对接入的信号源如笔记本画面，投屏画面，调度画面灵活切换，任意信号画面下均可一键返回大屏ops画面，满足老师多种上课场景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检测到笔记本电脑接入后，信号源自动切换到“笔记本电脑”，无需用户手动切换，快捷方便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color w:val="000000" w:themeColor="text1"/>
                <w:kern w:val="0"/>
                <w:szCs w:val="21"/>
              </w:rPr>
              <w:t>在切换信号源后老师经常需求根据信号源的实际情况调整音量，支</w:t>
            </w:r>
            <w:r>
              <w:rPr>
                <w:rFonts w:hint="eastAsia" w:ascii="宋体" w:hAnsi="宋体" w:eastAsia="宋体" w:cs="宋体"/>
                <w:color w:val="000000"/>
                <w:kern w:val="0"/>
                <w:szCs w:val="21"/>
              </w:rPr>
              <w:t>持信号源和音量的快捷控制，方便老师在一个页面完成高频操作，无需繁琐的切换页面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可分别控制音箱、麦克风的音量大小，以适应老师个人上课需求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支持对投影、大屏的开关机控制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支持对幕布的上升、暂停和下降控制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支持设置是否开放多屏互动的控制、自由调度控制、录播控制、开关机控制、熄屏控制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支持自由调度模式，即允许任意小组间画面的自由调度，如1组要参考学习2组的教学结果，可只在1和2组之间进行画面共享/对比等操作，而不影响其他小组的讨论结果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支持多种手势操作快捷调度、关闭、切换、对比镜像画面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支持调度多个不同小组显示不同的镜像画面，自由调度模式下支持2路画面对比，多屏调度模式下支持4路画面对比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支持一键熄灭唤醒多个大屏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支持控制单个或者多个大屏的开机和关机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支持控制学生端自由调度权限的开启和关闭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支持一键快捷清除所有镜像画面显示，所有屏幕复位到各自画面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支持小组屏和大屏等设备异常连接状态提示，便于快速定位问题设备及修复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555" w:type="dxa"/>
            <w:vMerge w:val="continue"/>
            <w:vAlign w:val="center"/>
          </w:tcPr>
          <w:p>
            <w:pPr>
              <w:widowControl/>
              <w:jc w:val="left"/>
              <w:rPr>
                <w:rFonts w:ascii="宋体" w:hAnsi="宋体" w:eastAsia="宋体" w:cs="宋体"/>
                <w:b/>
                <w:bCs/>
                <w:kern w:val="0"/>
                <w:szCs w:val="21"/>
              </w:rPr>
            </w:pPr>
          </w:p>
        </w:tc>
        <w:tc>
          <w:tcPr>
            <w:tcW w:w="6854"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能够设置下课延迟关闭设备的时间，且能够设置灯光延迟关闭的时间，让教室设备控制更智能</w:t>
            </w:r>
          </w:p>
        </w:tc>
      </w:tr>
    </w:tbl>
    <w:p>
      <w:pPr>
        <w:pStyle w:val="2"/>
        <w:spacing w:before="240" w:after="240" w:line="360" w:lineRule="auto"/>
        <w:rPr>
          <w:rFonts w:ascii="宋体" w:hAnsi="宋体" w:eastAsia="宋体"/>
          <w:color w:val="000000" w:themeColor="text1"/>
          <w:sz w:val="24"/>
          <w:szCs w:val="28"/>
        </w:rPr>
      </w:pPr>
      <w:r>
        <w:rPr>
          <w:rFonts w:hint="eastAsia" w:ascii="宋体" w:hAnsi="宋体" w:eastAsia="宋体"/>
          <w:color w:val="000000" w:themeColor="text1"/>
          <w:sz w:val="24"/>
          <w:szCs w:val="28"/>
        </w:rPr>
        <w:t>3、无线投屏</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shd w:val="clear" w:color="auto" w:fill="auto"/>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b/>
                <w:bCs/>
                <w:color w:val="000000" w:themeColor="text1"/>
                <w:kern w:val="0"/>
                <w:szCs w:val="21"/>
              </w:rPr>
              <w:t>指标项</w:t>
            </w:r>
          </w:p>
        </w:tc>
        <w:tc>
          <w:tcPr>
            <w:tcW w:w="6662" w:type="dxa"/>
            <w:shd w:val="clear" w:color="auto" w:fill="auto"/>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b/>
                <w:bCs/>
                <w:color w:val="000000" w:themeColor="text1"/>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1555" w:type="dxa"/>
            <w:shd w:val="clear" w:color="auto" w:fill="auto"/>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硬件要求</w:t>
            </w:r>
          </w:p>
        </w:tc>
        <w:tc>
          <w:tcPr>
            <w:tcW w:w="6662" w:type="dxa"/>
            <w:shd w:val="clear" w:color="auto" w:fill="auto"/>
            <w:vAlign w:val="center"/>
          </w:tcPr>
          <w:p>
            <w:pPr>
              <w:rPr>
                <w:color w:val="000000" w:themeColor="text1"/>
              </w:rPr>
            </w:pPr>
            <w:r>
              <w:rPr>
                <w:rFonts w:hint="eastAsia" w:ascii="宋体" w:hAnsi="宋体" w:eastAsia="宋体" w:cs="微软雅黑"/>
                <w:color w:val="000000" w:themeColor="text1"/>
                <w:kern w:val="0"/>
                <w:szCs w:val="21"/>
              </w:rPr>
              <w:t>软件支持多终端设备与屏幕之间推送、传屏的屏幕投放软件，具备跨多个平台无线传屏的能力。投屏软件赋能课堂教学内容地分享和流转，老师和学生能够轻松地将手机、平板、笔记本电脑等移动设备上的教学内容通过无线的方式一键分享到教室内的屏幕上，灵活开展移动授课、小组讨论等等教学业务。同时，锐捷投屏软件支持跨三层网络投屏，免去了部署和管理的繁琐，极大地提高了管理效果。</w:t>
            </w:r>
          </w:p>
        </w:tc>
      </w:tr>
    </w:tbl>
    <w:p>
      <w:pPr>
        <w:pStyle w:val="2"/>
        <w:spacing w:before="240" w:after="240" w:line="360" w:lineRule="auto"/>
        <w:rPr>
          <w:rFonts w:ascii="宋体" w:hAnsi="宋体" w:eastAsia="宋体"/>
          <w:color w:val="000000" w:themeColor="text1"/>
          <w:sz w:val="24"/>
          <w:szCs w:val="28"/>
        </w:rPr>
      </w:pPr>
      <w:r>
        <w:rPr>
          <w:rFonts w:hint="eastAsia" w:ascii="宋体" w:hAnsi="宋体" w:eastAsia="宋体"/>
          <w:color w:val="000000" w:themeColor="text1"/>
          <w:sz w:val="24"/>
          <w:szCs w:val="28"/>
        </w:rPr>
        <w:t>4、学生小组交互系统</w:t>
      </w:r>
    </w:p>
    <w:tbl>
      <w:tblPr>
        <w:tblStyle w:val="5"/>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5" w:type="dxa"/>
            <w:shd w:val="clear" w:color="auto" w:fill="auto"/>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指标项</w:t>
            </w:r>
          </w:p>
        </w:tc>
        <w:tc>
          <w:tcPr>
            <w:tcW w:w="6854" w:type="dxa"/>
            <w:shd w:val="clear" w:color="auto" w:fill="auto"/>
            <w:noWrap/>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5" w:type="dxa"/>
            <w:vMerge w:val="restar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硬件要求</w:t>
            </w: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显示尺寸≥55英寸，显示比例16:9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5" w:type="dxa"/>
            <w:vMerge w:val="continue"/>
            <w:vAlign w:val="center"/>
          </w:tcPr>
          <w:p>
            <w:pPr>
              <w:widowControl/>
              <w:jc w:val="left"/>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物理解析度≥3840×2160，4K极清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5" w:type="dxa"/>
            <w:vMerge w:val="continue"/>
            <w:vAlign w:val="center"/>
          </w:tcPr>
          <w:p>
            <w:pPr>
              <w:widowControl/>
              <w:jc w:val="left"/>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为保证显示效果，屏幕显示部分的面积占比≥80%。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pPr>
              <w:widowControl/>
              <w:jc w:val="left"/>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color w:val="000000"/>
                <w:kern w:val="0"/>
                <w:szCs w:val="21"/>
              </w:rPr>
              <w:t>屏体类型：D-LED背光源，A规屏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555" w:type="dxa"/>
            <w:vMerge w:val="continue"/>
            <w:vAlign w:val="center"/>
          </w:tcPr>
          <w:p>
            <w:pPr>
              <w:widowControl/>
              <w:jc w:val="left"/>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屏幕对比度≥1200：1，亮度：≥350cd/m²，颜色深度：≥1.07B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5" w:type="dxa"/>
            <w:vMerge w:val="continue"/>
            <w:vAlign w:val="center"/>
          </w:tcPr>
          <w:p>
            <w:pPr>
              <w:widowControl/>
              <w:jc w:val="left"/>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整机厚度≤86.9mm；待机功耗≤0.5W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5" w:type="dxa"/>
            <w:vMerge w:val="continue"/>
            <w:vAlign w:val="center"/>
          </w:tcPr>
          <w:p>
            <w:pPr>
              <w:widowControl/>
              <w:jc w:val="left"/>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自带扬声器≥2个，功率≥2*5W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5" w:type="dxa"/>
            <w:vMerge w:val="continue"/>
            <w:vAlign w:val="center"/>
          </w:tcPr>
          <w:p>
            <w:pPr>
              <w:widowControl/>
              <w:jc w:val="left"/>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大屏机身提供VGA输入口≥1组（每组带音频输入），HDMI输入口≥2组，TOUCH OUT≥1组，USB接口≥1个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55" w:type="dxa"/>
            <w:vMerge w:val="continue"/>
            <w:vAlign w:val="center"/>
          </w:tcPr>
          <w:p>
            <w:pPr>
              <w:widowControl/>
              <w:jc w:val="left"/>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触控技术支持≥10点红外触控；触摸方式：手指、笔，或其他任何非透明物体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55" w:type="dxa"/>
            <w:vMerge w:val="continue"/>
            <w:vAlign w:val="center"/>
          </w:tcPr>
          <w:p>
            <w:pPr>
              <w:widowControl/>
              <w:jc w:val="left"/>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书写面采用钢化AG玻璃，硬度≥莫氏7级，防暴、防滑、防炫光</w:t>
            </w:r>
          </w:p>
        </w:tc>
      </w:tr>
    </w:tbl>
    <w:p>
      <w:pPr>
        <w:pStyle w:val="2"/>
        <w:spacing w:before="240" w:after="240" w:line="360" w:lineRule="auto"/>
        <w:rPr>
          <w:rFonts w:ascii="宋体" w:hAnsi="宋体" w:eastAsia="宋体"/>
          <w:color w:val="000000" w:themeColor="text1"/>
          <w:sz w:val="24"/>
          <w:szCs w:val="28"/>
        </w:rPr>
      </w:pPr>
      <w:r>
        <w:rPr>
          <w:rFonts w:hint="eastAsia" w:ascii="宋体" w:hAnsi="宋体" w:eastAsia="宋体"/>
          <w:color w:val="000000" w:themeColor="text1"/>
          <w:sz w:val="24"/>
          <w:szCs w:val="28"/>
        </w:rPr>
        <w:t>5、教师交互显示系统</w:t>
      </w:r>
    </w:p>
    <w:tbl>
      <w:tblPr>
        <w:tblStyle w:val="5"/>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Align w:val="center"/>
          </w:tcPr>
          <w:p>
            <w:pPr>
              <w:widowControl/>
              <w:jc w:val="center"/>
              <w:rPr>
                <w:rFonts w:ascii="微软雅黑" w:hAnsi="微软雅黑" w:eastAsia="微软雅黑" w:cs="宋体"/>
                <w:color w:val="000000"/>
                <w:kern w:val="0"/>
                <w:sz w:val="20"/>
                <w:szCs w:val="20"/>
              </w:rPr>
            </w:pPr>
            <w:r>
              <w:rPr>
                <w:rFonts w:hint="eastAsia" w:ascii="宋体" w:hAnsi="宋体" w:eastAsia="宋体" w:cs="宋体"/>
                <w:b/>
                <w:bCs/>
                <w:kern w:val="0"/>
                <w:szCs w:val="21"/>
              </w:rPr>
              <w:t>指标项</w:t>
            </w:r>
          </w:p>
        </w:tc>
        <w:tc>
          <w:tcPr>
            <w:tcW w:w="6854" w:type="dxa"/>
            <w:shd w:val="clear" w:color="auto" w:fill="auto"/>
            <w:vAlign w:val="center"/>
          </w:tcPr>
          <w:p>
            <w:pPr>
              <w:widowControl/>
              <w:jc w:val="center"/>
              <w:rPr>
                <w:rFonts w:ascii="微软雅黑" w:hAnsi="微软雅黑" w:eastAsia="微软雅黑" w:cs="宋体"/>
                <w:color w:val="000000"/>
                <w:kern w:val="0"/>
                <w:sz w:val="20"/>
                <w:szCs w:val="20"/>
              </w:rPr>
            </w:pPr>
            <w:r>
              <w:rPr>
                <w:rFonts w:hint="eastAsia" w:ascii="宋体" w:hAnsi="宋体" w:eastAsia="宋体" w:cs="宋体"/>
                <w:b/>
                <w:bCs/>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restart"/>
            <w:vAlign w:val="center"/>
          </w:tcPr>
          <w:p>
            <w:pPr>
              <w:widowControl/>
              <w:jc w:val="center"/>
              <w:rPr>
                <w:rFonts w:ascii="宋体" w:hAnsi="宋体" w:eastAsia="宋体" w:cs="宋体"/>
                <w:kern w:val="0"/>
                <w:szCs w:val="21"/>
              </w:rPr>
            </w:pPr>
            <w:r>
              <w:rPr>
                <w:rFonts w:hint="eastAsia" w:ascii="宋体" w:hAnsi="宋体" w:eastAsia="宋体" w:cs="宋体"/>
                <w:kern w:val="0"/>
                <w:szCs w:val="21"/>
              </w:rPr>
              <w:t>触控一体机</w:t>
            </w: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显示尺寸≥86英寸，显示比例16:9，可视角度≥178°，具备防眩光效果；贴合技术：0贴合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触控技术：支持Windows系统中≥20点触控，Android系统中最大16点触控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屏幕分辨率≥3840×2160，支持4K极清显示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屏幕对比度1200：1，亮度≥350cd/m²，颜色深度10bit，显示灰度等级1024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为保证所投产品屏幕可达到和大部分物质摩擦不会产生划痕，要求所投交互式智能平板产品表面硬度达到9H及以上等级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shd w:val="clear" w:color="000000" w:fill="FFFFFF"/>
            <w:vAlign w:val="center"/>
          </w:tcPr>
          <w:p>
            <w:pPr>
              <w:widowControl/>
              <w:jc w:val="center"/>
              <w:rPr>
                <w:rFonts w:ascii="宋体" w:hAnsi="宋体" w:eastAsia="宋体" w:cs="宋体"/>
                <w:kern w:val="0"/>
                <w:szCs w:val="21"/>
              </w:rPr>
            </w:pPr>
          </w:p>
        </w:tc>
        <w:tc>
          <w:tcPr>
            <w:tcW w:w="6854" w:type="dxa"/>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★为降低儿童、青少年近视发生率，要求所投交互式智能平板产品为低蓝光产品并提供莱茵硬件低蓝光认证报告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shd w:val="clear" w:color="000000" w:fill="FFFFFF"/>
            <w:vAlign w:val="center"/>
          </w:tcPr>
          <w:p>
            <w:pPr>
              <w:widowControl/>
              <w:jc w:val="center"/>
              <w:rPr>
                <w:rFonts w:ascii="宋体" w:hAnsi="宋体" w:eastAsia="宋体" w:cs="宋体"/>
                <w:kern w:val="0"/>
                <w:szCs w:val="21"/>
              </w:rPr>
            </w:pPr>
          </w:p>
        </w:tc>
        <w:tc>
          <w:tcPr>
            <w:tcW w:w="6854" w:type="dxa"/>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★为降低儿童、青少年近视发生率，要求所投交互式智能平板产品为无频闪产品并提供莱茵无频闪认证报告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shd w:val="clear" w:color="000000" w:fill="FFFFFF"/>
            <w:vAlign w:val="center"/>
          </w:tcPr>
          <w:p>
            <w:pPr>
              <w:widowControl/>
              <w:jc w:val="center"/>
              <w:rPr>
                <w:rFonts w:ascii="宋体" w:hAnsi="宋体" w:eastAsia="宋体" w:cs="宋体"/>
                <w:kern w:val="0"/>
                <w:szCs w:val="21"/>
              </w:rPr>
            </w:pPr>
          </w:p>
        </w:tc>
        <w:tc>
          <w:tcPr>
            <w:tcW w:w="6854" w:type="dxa"/>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★为保障所投设备质量优异，可靠性高，要求所投设备平均故障间隔时间（MTBF）不低于190000小时，提供测试报告复印件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★所投产品“静电放电抗扰度”、“浪涌（冲击）抗扰度”、“连续波传导骚扰抗扰度”、“连续波辐射骚扰抗扰度”符合依据GB/T17626.2-2018、GB/T17626.3-2016、GB/T 17626.5-2008、GB/T17626.6-2017的相关要求且测试结果达到性能判据A的标准，提供国家级权威测试机构出具的证书复印件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自带扬声器数量≥2个，每个扬声器功率额定功率15W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主屏机身与插拔式电脑的接口为行业标准的80pin OPS-C接口，不接受企业私有接口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前置物理按键可唤起设置菜单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所投产品外观精简且易于用户操作，需具备“开机、关机、息屏待机”三合一按键的功能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整机前面板具有手写笔磁吸区域，具备双通道USB接口≥3组，type-C接口≥1组，需同时支持Windows与Android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整机后置接口HDMI in≥2组，RS232≥1组，USB≥1组，Touch USB≥1组，Audio in≥1组，Audio out≥1组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整机内置非独立外扩展的摄像头，可拍摄≥800万像素的照片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整机内置非独立外扩展的麦克风，可用于一键录屏对音频进行采集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大屏支持2.4G/5G双频wifi，支持802.11ac，并且支持释放热点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在Windows系统4K分辨率下，通过书写加速技术，使用教学软件书写延迟时间≤50ms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为保证使用者能够在最佳的光线状态来使用产品，具备亮度自动调节功能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为方便不同身高教师使用，屏幕显示画面可通过手势交互实现任意大小缩放，且缩放画面支持拖动至任意位置，在缩放画面内可进行触控操作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整机可实时显示设备温度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触摸中控菜单上信号源名称支持自定义，支持中、英、数字、标点符号自定义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Windows XP、Windows 7、Windows 8、Windows 8.1、 Windows 10、Linux、Mac Os系统外置电脑操作系统接入时，无需安装触摸框驱动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整机在当前信号源10分钟内处于无信号接收状态时自动休眠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侧边栏应用：在Android、PC或其他通道下快捷调取白板、批注、截屏、设置等功能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屏幕侧边栏支持设置为正常显示和完全隐藏（无侧边栏箭头）模式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内置Android系统，系统版本≥Android8.0，具备≥3G运行内存，≥16G系统存储空间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内置Android系统清晰度高，具备4K级别UI显示界面，内置白板软件支持分屏书写及手背擦除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restart"/>
            <w:vAlign w:val="center"/>
          </w:tcPr>
          <w:p>
            <w:pPr>
              <w:widowControl/>
              <w:jc w:val="center"/>
              <w:rPr>
                <w:rFonts w:ascii="宋体" w:hAnsi="宋体" w:eastAsia="宋体" w:cs="宋体"/>
                <w:kern w:val="0"/>
                <w:szCs w:val="21"/>
              </w:rPr>
            </w:pPr>
            <w:r>
              <w:rPr>
                <w:rFonts w:hint="eastAsia" w:ascii="宋体" w:hAnsi="宋体" w:eastAsia="宋体" w:cs="宋体"/>
                <w:kern w:val="0"/>
                <w:szCs w:val="21"/>
              </w:rPr>
              <w:t>O</w:t>
            </w:r>
            <w:r>
              <w:rPr>
                <w:rFonts w:ascii="宋体" w:hAnsi="宋体" w:eastAsia="宋体" w:cs="宋体"/>
                <w:kern w:val="0"/>
                <w:szCs w:val="21"/>
              </w:rPr>
              <w:t>PS</w:t>
            </w: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采用</w:t>
            </w:r>
            <w:r>
              <w:rPr>
                <w:rFonts w:ascii="宋体" w:hAnsi="宋体" w:eastAsia="宋体" w:cs="宋体"/>
                <w:kern w:val="0"/>
                <w:szCs w:val="21"/>
              </w:rPr>
              <w:t>OPS-C模块化电脑方案</w:t>
            </w:r>
            <w:r>
              <w:rPr>
                <w:rFonts w:hint="eastAsia" w:ascii="宋体" w:hAnsi="宋体" w:eastAsia="宋体" w:cs="宋体"/>
                <w:kern w:val="0"/>
                <w:szCs w:val="21"/>
              </w:rPr>
              <w:t>，接口严格遵循</w:t>
            </w:r>
            <w:r>
              <w:rPr>
                <w:rFonts w:ascii="宋体" w:hAnsi="宋体" w:eastAsia="宋体" w:cs="宋体"/>
                <w:kern w:val="0"/>
                <w:szCs w:val="21"/>
              </w:rPr>
              <w:t>Intel相关规范,针脚数为标准80Pin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搭载</w:t>
            </w:r>
            <w:r>
              <w:rPr>
                <w:rFonts w:ascii="宋体" w:hAnsi="宋体" w:eastAsia="宋体" w:cs="宋体"/>
                <w:kern w:val="0"/>
                <w:szCs w:val="21"/>
              </w:rPr>
              <w:t>Intel酷睿系列≥i5 八代CPU</w:t>
            </w:r>
            <w:r>
              <w:rPr>
                <w:rFonts w:hint="eastAsia" w:ascii="宋体" w:hAnsi="宋体" w:eastAsia="宋体" w:cs="宋体"/>
                <w:kern w:val="0"/>
                <w:szCs w:val="21"/>
              </w:rPr>
              <w:t>，</w:t>
            </w:r>
            <w:r>
              <w:rPr>
                <w:rFonts w:ascii="宋体" w:hAnsi="宋体" w:eastAsia="宋体" w:cs="宋体"/>
                <w:kern w:val="0"/>
                <w:szCs w:val="21"/>
              </w:rPr>
              <w:t>≥8G DDR4运行内存</w:t>
            </w:r>
            <w:r>
              <w:rPr>
                <w:rFonts w:hint="eastAsia" w:ascii="宋体" w:hAnsi="宋体" w:eastAsia="宋体" w:cs="宋体"/>
                <w:kern w:val="0"/>
                <w:szCs w:val="21"/>
              </w:rPr>
              <w:t>，</w:t>
            </w:r>
            <w:r>
              <w:rPr>
                <w:rFonts w:ascii="宋体" w:hAnsi="宋体" w:eastAsia="宋体" w:cs="宋体"/>
                <w:kern w:val="0"/>
                <w:szCs w:val="21"/>
              </w:rPr>
              <w:t>≥256GSSD固态硬盘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提供</w:t>
            </w:r>
            <w:r>
              <w:rPr>
                <w:rFonts w:ascii="宋体" w:hAnsi="宋体" w:eastAsia="宋体" w:cs="宋体"/>
                <w:kern w:val="0"/>
                <w:szCs w:val="21"/>
              </w:rPr>
              <w:t>≥7个USB接口，其中≥4个为USB3.0接口，≥2个为USB2.0接口，≥1个Type-C接口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视频输出接口：</w:t>
            </w:r>
            <w:r>
              <w:rPr>
                <w:rFonts w:ascii="宋体" w:hAnsi="宋体" w:eastAsia="宋体" w:cs="宋体"/>
                <w:kern w:val="0"/>
                <w:szCs w:val="21"/>
              </w:rPr>
              <w:t>HDMI≥1个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w:t>
            </w:r>
            <w:r>
              <w:rPr>
                <w:rFonts w:ascii="宋体" w:hAnsi="宋体" w:eastAsia="宋体" w:cs="宋体"/>
                <w:kern w:val="0"/>
                <w:szCs w:val="21"/>
              </w:rPr>
              <w:t>2.4G/5G双频wifi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支持</w:t>
            </w:r>
            <w:r>
              <w:rPr>
                <w:rFonts w:ascii="宋体" w:hAnsi="宋体" w:eastAsia="宋体" w:cs="宋体"/>
                <w:kern w:val="0"/>
                <w:szCs w:val="21"/>
              </w:rPr>
              <w:t>4k清晰度高清视频流畅解码播放，支持显示信号输出到4K显示器上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ascii="宋体" w:hAnsi="宋体" w:eastAsia="宋体" w:cs="宋体"/>
                <w:kern w:val="0"/>
                <w:szCs w:val="21"/>
              </w:rPr>
              <w:t>USB外设全兼容，如USB存储、Ukey、高拍仪、扫描仪等，均可识别兼容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★为保障所投设备质量优异，可靠性高，要求所投设备平均故障间隔时间（</w:t>
            </w:r>
            <w:r>
              <w:rPr>
                <w:rFonts w:ascii="宋体" w:hAnsi="宋体" w:eastAsia="宋体" w:cs="宋体"/>
                <w:kern w:val="0"/>
                <w:szCs w:val="21"/>
              </w:rPr>
              <w:t>MTBF）≥200000小时</w:t>
            </w:r>
            <w:r>
              <w:rPr>
                <w:rFonts w:hint="eastAsia" w:ascii="宋体" w:hAnsi="宋体" w:eastAsia="宋体" w:cs="宋体"/>
                <w:kern w:val="0"/>
                <w:szCs w:val="21"/>
              </w:rPr>
              <w:t>，提供测试报告复印件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所投设备具备隐藏式Reset按钮，可实现重启功能，提供国家级权威测试机构出具的证书复印件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kern w:val="0"/>
                <w:szCs w:val="21"/>
              </w:rPr>
            </w:pP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★为防止公共资源的丢失，要求所投设备具备防盗锁功能，提供国家级权威测试机构出具的证书复印件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★产品资质</w:t>
            </w:r>
          </w:p>
        </w:tc>
        <w:tc>
          <w:tcPr>
            <w:tcW w:w="685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产品制造厂商应在产品的过程进行静电防护管理，具备完善的静电防护管理体系，通过静电防护管理体系认证，提供证书复印件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兼容PPT</w:t>
            </w: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★支持在PPT课件中使用汉字、英语词典、立体几何、四线三格等学科工具进行备课，老师可以基于原有的课件进行修改，避免因转化为其他课件格式引起的格式错乱、内容或动画丢失的问题，提供第三方测试报告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restart"/>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白板</w:t>
            </w: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★支持在2k和4K的屏幕分辨率下，课件批注与白板书写的延时不高于50ms，并具备书写的笔锋效果，提供第三方测试报告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支持手势擦除，无需点击按钮切换笔和橡皮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支持手势控制擦除面积，擦除过程中无需切换橡皮大小就可以控制橡皮的大小变化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支持白板画板缩放和漫游，便于大面积书写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课件讲评</w:t>
            </w: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支持将手机上的课件同步到大屏上播放，且全程不用在大屏上做任何操作，方便使用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restart"/>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实物展台</w:t>
            </w: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支持通过实物展台展示纸质教学资料，展示过程中可以灵活的缩放、旋转，以便于调整到适合的大小和角度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支持对实物展台展示的内容做批注，且对展示内容进行移动，缩放时，批注可以跟随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教学资源</w:t>
            </w: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提供匹配各学科教材章节的课件、教案、练习资源，且课件资源可以兼容PPT，便于老师与现有课件的整合编辑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restart"/>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智能圈</w:t>
            </w: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★支持从课件、白板、实物展台中直接拾取汉字，即可展示汉字的读音、笔顺、部首、笔画。无需课前或课堂中额外进行汉字输入调出汉字卡，提供第三方测试报告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★支持从课件、白板、实物展台中直接拾取单词，即可展示单词的读音、释义、例句等。无需课前或课堂中额外进行单词输入调出单词卡，提供第三方测试报告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★为方便老师基于课件或实物展台中讲评的知识点进行拓展教学，支持从课件或实物展台中直接拾取内容后进行百度搜索，无需单独打开浏览器做输入后搜索，提供第三方测试报告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一笔画</w:t>
            </w: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为了方便老师讲授和平面几何相关的知识点，支持在课件、白板、实物展台中，在笔模式下直接绘制生成规整的几何图形（需要支持常用的几何图形，如直线、三角形、圆形、矩形、梯形及多边形），老师无需在工具栏中寻找选择几何图形，让老师的教学更加灵活自由，提供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restart"/>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其他学科工具</w:t>
            </w: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为方便老师讲授立体几何相关的知识点，支持从课件、白板中调取出立方体、圆柱体、圆锥体的立体几何图形，支持用动画效果展示立体图形各个面的效果，以及立体图形展开和收起的效果，让学生更直观地学习立体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为方便老师教授学生规范地书写英文，支持从课件、白板中调出英语的四线三格，支持输入标准的英文手写体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restart"/>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数据随行</w:t>
            </w: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支持将电脑上的课件、手机微信等第三方应用中的课件及手机上的图片、视频转存到教学云盘中，方便对教学资源进行统一管理和课堂展示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854"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支持课堂板书自动留存，方便在课下通过电脑和手机查看课堂板书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55" w:type="dxa"/>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★产品资质</w:t>
            </w:r>
          </w:p>
        </w:tc>
        <w:tc>
          <w:tcPr>
            <w:tcW w:w="6854" w:type="dxa"/>
            <w:shd w:val="clear" w:color="auto" w:fill="auto"/>
            <w:vAlign w:val="center"/>
          </w:tcPr>
          <w:p>
            <w:pP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设备厂商软件研发实力强，具备</w:t>
            </w:r>
            <w:r>
              <w:rPr>
                <w:rFonts w:ascii="宋体" w:hAnsi="宋体" w:eastAsia="宋体" w:cs="宋体"/>
                <w:color w:val="000000" w:themeColor="text1"/>
                <w:kern w:val="0"/>
                <w:szCs w:val="21"/>
              </w:rPr>
              <w:t>CMMI5证书</w:t>
            </w:r>
            <w:r>
              <w:rPr>
                <w:rFonts w:hint="eastAsia" w:ascii="宋体" w:hAnsi="宋体" w:eastAsia="宋体" w:cs="宋体"/>
                <w:color w:val="000000" w:themeColor="text1"/>
                <w:kern w:val="0"/>
                <w:szCs w:val="21"/>
              </w:rPr>
              <w:t>，</w:t>
            </w:r>
            <w:r>
              <w:rPr>
                <w:rFonts w:ascii="宋体" w:hAnsi="宋体" w:eastAsia="宋体" w:cs="宋体"/>
                <w:color w:val="000000" w:themeColor="text1"/>
                <w:kern w:val="0"/>
                <w:szCs w:val="21"/>
              </w:rPr>
              <w:t>提供自发证之日起三年有效期内证书复印件</w:t>
            </w:r>
          </w:p>
        </w:tc>
      </w:tr>
    </w:tbl>
    <w:p>
      <w:pPr>
        <w:pStyle w:val="2"/>
        <w:spacing w:before="240" w:after="240" w:line="360" w:lineRule="auto"/>
        <w:rPr>
          <w:rFonts w:ascii="宋体" w:hAnsi="宋体" w:eastAsia="宋体"/>
          <w:sz w:val="24"/>
          <w:szCs w:val="28"/>
        </w:rPr>
      </w:pPr>
      <w:r>
        <w:rPr>
          <w:rFonts w:hint="eastAsia" w:ascii="宋体" w:hAnsi="宋体" w:eastAsia="宋体"/>
          <w:sz w:val="24"/>
          <w:szCs w:val="28"/>
        </w:rPr>
        <w:t>6、功放主机</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
                <w:bCs/>
                <w:kern w:val="0"/>
                <w:szCs w:val="21"/>
              </w:rPr>
              <w:t>指标项</w:t>
            </w:r>
          </w:p>
        </w:tc>
        <w:tc>
          <w:tcPr>
            <w:tcW w:w="6662"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
                <w:bCs/>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5" w:type="dxa"/>
            <w:vMerge w:val="restar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硬件要求</w:t>
            </w: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整机要求采用不超过1U高度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提供RS485/232控制接口来实现对设备开关控制和音量的调整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为保障系统的耐用性，和音频质量，采用D型放大器类型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提供支持话筒反馈抑制，档位级别≥4级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负载阻抗：支持4Ω/8Ω/16Ω。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输出功率≥80W×2通道。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线路信噪比不低于75dB</w:t>
            </w:r>
          </w:p>
        </w:tc>
      </w:tr>
    </w:tbl>
    <w:p>
      <w:pPr>
        <w:pStyle w:val="2"/>
        <w:spacing w:before="240" w:after="240" w:line="360" w:lineRule="auto"/>
        <w:rPr>
          <w:rFonts w:ascii="宋体" w:hAnsi="宋体" w:eastAsia="宋体"/>
          <w:sz w:val="24"/>
          <w:szCs w:val="28"/>
        </w:rPr>
      </w:pPr>
      <w:r>
        <w:rPr>
          <w:rFonts w:hint="eastAsia" w:ascii="宋体" w:hAnsi="宋体" w:eastAsia="宋体"/>
          <w:sz w:val="24"/>
          <w:szCs w:val="28"/>
        </w:rPr>
        <w:t>7、音响</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55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
                <w:bCs/>
                <w:kern w:val="0"/>
                <w:szCs w:val="21"/>
              </w:rPr>
              <w:t>指标项</w:t>
            </w:r>
          </w:p>
        </w:tc>
        <w:tc>
          <w:tcPr>
            <w:tcW w:w="6662"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
                <w:bCs/>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5" w:type="dxa"/>
            <w:vMerge w:val="restart"/>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硬件要求</w:t>
            </w: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语言清晰度：STI值≥0.7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配置2路三单元全频扬声器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频率响应（-3dB）：80Hz-16kHz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平均声压级（1m）：114dB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最大声压级（1m）：120dB(峰值)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指向性：水平及垂直方向均应不小于140°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灵敏度（1W@1m）：≥88dB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额定阻抗：8Ω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center"/>
              <w:rPr>
                <w:rFonts w:ascii="宋体" w:hAnsi="宋体" w:eastAsia="宋体" w:cs="宋体"/>
                <w:kern w:val="0"/>
                <w:szCs w:val="21"/>
              </w:rPr>
            </w:pPr>
          </w:p>
        </w:tc>
        <w:tc>
          <w:tcPr>
            <w:tcW w:w="6662"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功率：额定功率不小于80W</w:t>
            </w:r>
          </w:p>
        </w:tc>
      </w:tr>
    </w:tbl>
    <w:p>
      <w:pPr>
        <w:pStyle w:val="2"/>
        <w:spacing w:before="240" w:after="240" w:line="360" w:lineRule="auto"/>
        <w:rPr>
          <w:rFonts w:ascii="宋体" w:hAnsi="宋体" w:eastAsia="宋体"/>
          <w:color w:val="000000" w:themeColor="text1"/>
          <w:sz w:val="24"/>
          <w:szCs w:val="24"/>
        </w:rPr>
      </w:pPr>
      <w:r>
        <w:rPr>
          <w:rFonts w:hint="eastAsia" w:ascii="宋体" w:hAnsi="宋体" w:eastAsia="宋体"/>
          <w:color w:val="000000" w:themeColor="text1"/>
          <w:sz w:val="24"/>
          <w:szCs w:val="24"/>
        </w:rPr>
        <w:t>8、网络摄像头</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555" w:type="dxa"/>
            <w:shd w:val="clear" w:color="auto" w:fill="auto"/>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b/>
                <w:bCs/>
                <w:color w:val="000000" w:themeColor="text1"/>
                <w:kern w:val="0"/>
                <w:szCs w:val="21"/>
              </w:rPr>
              <w:t>指标项</w:t>
            </w:r>
          </w:p>
        </w:tc>
        <w:tc>
          <w:tcPr>
            <w:tcW w:w="6662" w:type="dxa"/>
            <w:shd w:val="clear" w:color="auto" w:fill="auto"/>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b/>
                <w:bCs/>
                <w:color w:val="000000" w:themeColor="text1"/>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5" w:type="dxa"/>
            <w:vMerge w:val="restart"/>
            <w:shd w:val="clear" w:color="auto" w:fill="auto"/>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硬件要求</w:t>
            </w: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接口：USB2.0，USB3.0，USB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清晰度：1080P高清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镜头角度：12倍无损变焦，16倍数码变焦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屏幕显示：彩色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云台旋转：水平-170°-+170°</w:t>
            </w:r>
          </w:p>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垂直 -30°-+90°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高灵敏红外遥控器可设255个预置点，带RS232接口最多7台串联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支持云台控制，支持视频会议</w:t>
            </w:r>
          </w:p>
        </w:tc>
      </w:tr>
    </w:tbl>
    <w:p>
      <w:pPr>
        <w:pStyle w:val="2"/>
        <w:spacing w:before="240" w:after="240" w:line="360" w:lineRule="auto"/>
        <w:rPr>
          <w:rFonts w:ascii="宋体" w:hAnsi="宋体" w:eastAsia="宋体"/>
          <w:color w:val="000000" w:themeColor="text1"/>
          <w:sz w:val="24"/>
          <w:szCs w:val="24"/>
        </w:rPr>
      </w:pPr>
      <w:r>
        <w:rPr>
          <w:rFonts w:hint="eastAsia" w:ascii="宋体" w:hAnsi="宋体" w:eastAsia="宋体"/>
          <w:color w:val="000000" w:themeColor="text1"/>
          <w:sz w:val="24"/>
          <w:szCs w:val="24"/>
        </w:rPr>
        <w:t>9、提词器</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555" w:type="dxa"/>
            <w:shd w:val="clear" w:color="auto" w:fill="auto"/>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b/>
                <w:bCs/>
                <w:color w:val="000000" w:themeColor="text1"/>
                <w:kern w:val="0"/>
                <w:szCs w:val="21"/>
              </w:rPr>
              <w:t>指标项</w:t>
            </w:r>
          </w:p>
        </w:tc>
        <w:tc>
          <w:tcPr>
            <w:tcW w:w="6662" w:type="dxa"/>
            <w:shd w:val="clear" w:color="auto" w:fill="auto"/>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b/>
                <w:bCs/>
                <w:color w:val="000000" w:themeColor="text1"/>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5" w:type="dxa"/>
            <w:vMerge w:val="restart"/>
            <w:shd w:val="clear" w:color="auto" w:fill="auto"/>
            <w:vAlign w:val="center"/>
          </w:tcPr>
          <w:p>
            <w:pPr>
              <w:widowControl/>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硬件要求</w:t>
            </w: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提词器设备：支持4.7寸-7寸手机和7-13寸平板电脑进行提词使用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拍摄设备：4.7寸-7寸手机、DV、单反、微单、专业相机、电影机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主体材质：PC+ABC工程塑料材质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使用距离：2-5米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拍摄焦段：24-105镜头：支持24mm广角16:9拍摄</w:t>
            </w:r>
          </w:p>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17-85镜头：支持17mm超广角16:9拍摄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系统支持：安卓Android6.0,苹果IOS10.8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55" w:type="dxa"/>
            <w:vMerge w:val="continue"/>
            <w:vAlign w:val="center"/>
          </w:tcPr>
          <w:p>
            <w:pPr>
              <w:widowControl/>
              <w:jc w:val="center"/>
              <w:rPr>
                <w:rFonts w:ascii="宋体" w:hAnsi="宋体" w:eastAsia="宋体" w:cs="宋体"/>
                <w:color w:val="000000" w:themeColor="text1"/>
                <w:kern w:val="0"/>
                <w:szCs w:val="21"/>
              </w:rPr>
            </w:pPr>
          </w:p>
        </w:tc>
        <w:tc>
          <w:tcPr>
            <w:tcW w:w="6662" w:type="dxa"/>
            <w:shd w:val="clear" w:color="auto" w:fill="auto"/>
            <w:vAlign w:val="center"/>
          </w:tcPr>
          <w:p>
            <w:pPr>
              <w:widowControl/>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控制方式：手动或蓝牙控制器控制</w:t>
            </w:r>
          </w:p>
        </w:tc>
      </w:tr>
    </w:tbl>
    <w:p/>
    <w:p>
      <w:pPr>
        <w:pStyle w:val="2"/>
        <w:spacing w:before="240" w:after="240" w:line="360" w:lineRule="auto"/>
        <w:rPr>
          <w:rFonts w:hint="eastAsia" w:ascii="宋体" w:hAnsi="宋体" w:eastAsia="宋体"/>
          <w:sz w:val="24"/>
          <w:szCs w:val="24"/>
        </w:rPr>
      </w:pPr>
    </w:p>
    <w:p>
      <w:pPr>
        <w:pStyle w:val="2"/>
        <w:spacing w:before="240" w:after="240" w:line="360" w:lineRule="auto"/>
        <w:rPr>
          <w:rFonts w:hint="eastAsia" w:ascii="宋体" w:hAnsi="宋体" w:eastAsia="宋体"/>
          <w:sz w:val="24"/>
          <w:szCs w:val="24"/>
        </w:rPr>
      </w:pPr>
    </w:p>
    <w:p>
      <w:pPr>
        <w:rPr>
          <w:rFonts w:hint="eastAsia"/>
        </w:rPr>
      </w:pPr>
    </w:p>
    <w:p>
      <w:pPr>
        <w:pStyle w:val="2"/>
        <w:spacing w:before="240" w:after="240" w:line="360" w:lineRule="auto"/>
        <w:rPr>
          <w:rFonts w:ascii="宋体" w:hAnsi="宋体" w:eastAsia="宋体"/>
          <w:sz w:val="24"/>
          <w:szCs w:val="24"/>
        </w:rPr>
      </w:pPr>
      <w:r>
        <w:rPr>
          <w:rFonts w:hint="eastAsia" w:ascii="宋体" w:hAnsi="宋体" w:eastAsia="宋体"/>
          <w:sz w:val="24"/>
          <w:szCs w:val="24"/>
        </w:rPr>
        <w:t>商务资质</w:t>
      </w:r>
    </w:p>
    <w:tbl>
      <w:tblPr>
        <w:tblStyle w:val="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等线"/>
                <w:b/>
                <w:sz w:val="24"/>
                <w:szCs w:val="24"/>
              </w:rPr>
            </w:pPr>
            <w:r>
              <w:rPr>
                <w:rFonts w:hint="eastAsia" w:ascii="宋体" w:hAnsi="宋体" w:eastAsia="宋体"/>
                <w:b/>
                <w:sz w:val="24"/>
                <w:szCs w:val="24"/>
              </w:rPr>
              <w:t>评审内容</w:t>
            </w:r>
          </w:p>
        </w:tc>
        <w:tc>
          <w:tcPr>
            <w:tcW w:w="7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sz w:val="24"/>
                <w:szCs w:val="24"/>
              </w:rPr>
              <w:t>评审原则与标准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投标报价</w:t>
            </w:r>
          </w:p>
          <w:p>
            <w:pPr>
              <w:spacing w:line="360" w:lineRule="auto"/>
              <w:jc w:val="center"/>
              <w:rPr>
                <w:rFonts w:ascii="宋体" w:hAnsi="宋体" w:eastAsia="宋体"/>
                <w:sz w:val="24"/>
                <w:szCs w:val="24"/>
              </w:rPr>
            </w:pPr>
            <w:r>
              <w:rPr>
                <w:rFonts w:hint="eastAsia" w:ascii="宋体" w:hAnsi="宋体" w:eastAsia="宋体"/>
                <w:sz w:val="24"/>
                <w:szCs w:val="24"/>
              </w:rPr>
              <w:t>（30分）</w:t>
            </w:r>
          </w:p>
        </w:tc>
        <w:tc>
          <w:tcPr>
            <w:tcW w:w="70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投标报价不超过采购预算价格的为有效投标报价。超出此范围的投标报价为无效投标报价。无效投标报价的投标文件不进行评审，也不得标。</w:t>
            </w:r>
          </w:p>
          <w:p>
            <w:pPr>
              <w:spacing w:line="360" w:lineRule="auto"/>
              <w:rPr>
                <w:rFonts w:ascii="宋体" w:hAnsi="宋体" w:eastAsia="宋体"/>
                <w:sz w:val="24"/>
                <w:szCs w:val="24"/>
              </w:rPr>
            </w:pPr>
            <w:r>
              <w:rPr>
                <w:rFonts w:hint="eastAsia" w:ascii="宋体" w:hAnsi="宋体" w:eastAsia="宋体"/>
                <w:sz w:val="24"/>
                <w:szCs w:val="24"/>
              </w:rPr>
              <w:t>2．价格分采用低价优先法计算，即满足招标文件要求且投标价格最低的投标报价为评标基准价，其价格分为满分</w:t>
            </w:r>
            <w:r>
              <w:rPr>
                <w:rFonts w:ascii="宋体" w:hAnsi="宋体" w:eastAsia="宋体"/>
                <w:sz w:val="24"/>
                <w:szCs w:val="24"/>
              </w:rPr>
              <w:t>30</w:t>
            </w:r>
            <w:r>
              <w:rPr>
                <w:rFonts w:hint="eastAsia" w:ascii="宋体" w:hAnsi="宋体" w:eastAsia="宋体"/>
                <w:sz w:val="24"/>
                <w:szCs w:val="24"/>
              </w:rPr>
              <w:t>分。其他投标人的价格分统一按照下列公式计算（计算结果四舍五入保留两位小数）：</w:t>
            </w:r>
          </w:p>
          <w:p>
            <w:pPr>
              <w:spacing w:line="360" w:lineRule="auto"/>
              <w:rPr>
                <w:rFonts w:ascii="宋体" w:hAnsi="宋体" w:eastAsia="宋体"/>
                <w:sz w:val="24"/>
                <w:szCs w:val="24"/>
              </w:rPr>
            </w:pPr>
            <w:r>
              <w:rPr>
                <w:rFonts w:hint="eastAsia" w:ascii="宋体" w:hAnsi="宋体" w:eastAsia="宋体"/>
                <w:sz w:val="24"/>
                <w:szCs w:val="24"/>
              </w:rPr>
              <w:t>投标报价得分=（评标基准价/投标报价）* 30%* 100</w:t>
            </w:r>
          </w:p>
          <w:p>
            <w:pPr>
              <w:spacing w:line="360" w:lineRule="auto"/>
              <w:rPr>
                <w:rFonts w:ascii="宋体" w:hAnsi="宋体" w:eastAsia="宋体"/>
                <w:sz w:val="24"/>
                <w:szCs w:val="24"/>
              </w:rPr>
            </w:pPr>
            <w:r>
              <w:rPr>
                <w:rFonts w:hint="eastAsia" w:ascii="宋体" w:hAnsi="宋体" w:eastAsia="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仿宋"/>
                <w:bCs/>
                <w:color w:val="000000" w:themeColor="text1"/>
                <w:sz w:val="24"/>
                <w:szCs w:val="24"/>
              </w:rPr>
            </w:pPr>
            <w:r>
              <w:rPr>
                <w:rFonts w:hint="eastAsia" w:ascii="宋体" w:hAnsi="宋体" w:eastAsia="宋体"/>
                <w:color w:val="000000" w:themeColor="text1"/>
                <w:sz w:val="24"/>
                <w:szCs w:val="24"/>
              </w:rPr>
              <w:t>技术参数（41分）</w:t>
            </w:r>
          </w:p>
        </w:tc>
        <w:tc>
          <w:tcPr>
            <w:tcW w:w="70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技术参数要求响应全部满足招标文件要求的得基本分</w:t>
            </w:r>
            <w:r>
              <w:rPr>
                <w:rFonts w:hint="eastAsia" w:ascii="宋体" w:hAnsi="宋体" w:eastAsia="宋体"/>
                <w:color w:val="FF0000"/>
                <w:sz w:val="24"/>
                <w:szCs w:val="24"/>
              </w:rPr>
              <w:t>41</w:t>
            </w:r>
            <w:r>
              <w:rPr>
                <w:rFonts w:hint="eastAsia" w:ascii="宋体" w:hAnsi="宋体" w:eastAsia="宋体"/>
                <w:sz w:val="24"/>
                <w:szCs w:val="24"/>
              </w:rPr>
              <w:t>分；带★项为重要技术参数，其余为一般技术参数，重要技术参数每负偏离一项扣2分，一般技术参数每负偏离一项扣0.5分，扣完为止。对★项技术参数条款中明确要求提供技术支持资料（如检测报告、相关证书或产品彩页等），需提供技术支持材料并加盖设备制造商公章，未提供或提供不全的，作为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仿宋"/>
                <w:bCs/>
                <w:sz w:val="24"/>
                <w:szCs w:val="24"/>
              </w:rPr>
            </w:pPr>
            <w:r>
              <w:rPr>
                <w:rFonts w:hint="eastAsia" w:ascii="宋体" w:hAnsi="宋体" w:eastAsia="宋体" w:cs="仿宋"/>
                <w:bCs/>
                <w:sz w:val="24"/>
                <w:szCs w:val="24"/>
              </w:rPr>
              <w:t>厂商资质</w:t>
            </w:r>
          </w:p>
          <w:p>
            <w:pPr>
              <w:spacing w:line="360" w:lineRule="auto"/>
              <w:jc w:val="center"/>
              <w:rPr>
                <w:rFonts w:ascii="宋体" w:hAnsi="宋体" w:eastAsia="宋体"/>
                <w:sz w:val="24"/>
                <w:szCs w:val="24"/>
              </w:rPr>
            </w:pPr>
            <w:r>
              <w:rPr>
                <w:rFonts w:hint="eastAsia" w:ascii="宋体" w:hAnsi="宋体" w:eastAsia="宋体" w:cs="仿宋"/>
                <w:bCs/>
                <w:sz w:val="24"/>
                <w:szCs w:val="24"/>
              </w:rPr>
              <w:t>（</w:t>
            </w:r>
            <w:r>
              <w:rPr>
                <w:rFonts w:ascii="宋体" w:hAnsi="宋体" w:eastAsia="宋体" w:cs="仿宋"/>
                <w:bCs/>
                <w:sz w:val="24"/>
                <w:szCs w:val="24"/>
              </w:rPr>
              <w:t>14</w:t>
            </w:r>
            <w:r>
              <w:rPr>
                <w:rFonts w:hint="eastAsia" w:ascii="宋体" w:hAnsi="宋体" w:eastAsia="宋体" w:cs="仿宋"/>
                <w:bCs/>
                <w:sz w:val="24"/>
                <w:szCs w:val="24"/>
              </w:rPr>
              <w:t>分）</w:t>
            </w:r>
          </w:p>
        </w:tc>
        <w:tc>
          <w:tcPr>
            <w:tcW w:w="70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1、为了保障服务质量，智能触控一体机原厂售后服务体系须通过符合</w:t>
            </w:r>
            <w:r>
              <w:rPr>
                <w:rFonts w:ascii="宋体" w:hAnsi="宋体" w:eastAsia="宋体"/>
                <w:sz w:val="24"/>
                <w:szCs w:val="24"/>
              </w:rPr>
              <w:t>G</w:t>
            </w:r>
            <w:bookmarkStart w:id="0" w:name="_GoBack"/>
            <w:bookmarkEnd w:id="0"/>
            <w:r>
              <w:rPr>
                <w:rFonts w:ascii="宋体" w:hAnsi="宋体" w:eastAsia="宋体"/>
                <w:sz w:val="24"/>
                <w:szCs w:val="24"/>
              </w:rPr>
              <w:t>B/T27922标准的售后服务成熟度认证，提供证书复印件并加盖厂商公章</w:t>
            </w:r>
            <w:r>
              <w:rPr>
                <w:rFonts w:hint="eastAsia" w:ascii="宋体" w:hAnsi="宋体" w:eastAsia="宋体"/>
                <w:sz w:val="24"/>
                <w:szCs w:val="24"/>
              </w:rPr>
              <w:t>；</w:t>
            </w:r>
            <w:r>
              <w:rPr>
                <w:rFonts w:ascii="宋体" w:hAnsi="宋体" w:eastAsia="宋体"/>
                <w:sz w:val="24"/>
                <w:szCs w:val="24"/>
              </w:rPr>
              <w:t>8星级得3分，5-7星级得1分，其余不得分；</w:t>
            </w:r>
          </w:p>
          <w:p>
            <w:pPr>
              <w:spacing w:line="360" w:lineRule="auto"/>
              <w:rPr>
                <w:rFonts w:ascii="宋体" w:hAnsi="宋体" w:eastAsia="宋体"/>
                <w:sz w:val="24"/>
                <w:szCs w:val="24"/>
              </w:rPr>
            </w:pPr>
            <w:r>
              <w:rPr>
                <w:rFonts w:ascii="宋体" w:hAnsi="宋体" w:eastAsia="宋体"/>
                <w:sz w:val="24"/>
                <w:szCs w:val="24"/>
              </w:rPr>
              <w:t>2、为了保障服务质量，</w:t>
            </w:r>
            <w:r>
              <w:rPr>
                <w:rFonts w:hint="eastAsia" w:ascii="宋体" w:hAnsi="宋体" w:eastAsia="宋体"/>
                <w:sz w:val="24"/>
                <w:szCs w:val="24"/>
              </w:rPr>
              <w:t>智能触控一体机</w:t>
            </w:r>
            <w:r>
              <w:rPr>
                <w:rFonts w:ascii="宋体" w:hAnsi="宋体" w:eastAsia="宋体"/>
                <w:sz w:val="24"/>
                <w:szCs w:val="24"/>
              </w:rPr>
              <w:t>制造厂商售后服务体系须通过符合GB/T 27922标准、GB/T16868标准的售后服务完善程度认证，提供证书复印件并加盖厂商公章</w:t>
            </w:r>
            <w:r>
              <w:rPr>
                <w:rFonts w:hint="eastAsia" w:ascii="宋体" w:hAnsi="宋体" w:eastAsia="宋体"/>
                <w:sz w:val="24"/>
                <w:szCs w:val="24"/>
              </w:rPr>
              <w:t>；</w:t>
            </w:r>
            <w:r>
              <w:rPr>
                <w:rFonts w:ascii="宋体" w:hAnsi="宋体" w:eastAsia="宋体"/>
                <w:sz w:val="24"/>
                <w:szCs w:val="24"/>
              </w:rPr>
              <w:t>10星级得3分，7</w:t>
            </w:r>
            <w:r>
              <w:rPr>
                <w:rFonts w:hint="eastAsia" w:ascii="宋体" w:hAnsi="宋体" w:eastAsia="宋体"/>
                <w:sz w:val="24"/>
                <w:szCs w:val="24"/>
              </w:rPr>
              <w:t>-</w:t>
            </w:r>
            <w:r>
              <w:rPr>
                <w:rFonts w:ascii="宋体" w:hAnsi="宋体" w:eastAsia="宋体"/>
                <w:sz w:val="24"/>
                <w:szCs w:val="24"/>
              </w:rPr>
              <w:t>9星级得1分，其余不得分；</w:t>
            </w:r>
          </w:p>
          <w:p>
            <w:pPr>
              <w:spacing w:line="360" w:lineRule="auto"/>
              <w:rPr>
                <w:rFonts w:ascii="宋体" w:hAnsi="宋体" w:eastAsia="宋体"/>
                <w:sz w:val="24"/>
                <w:szCs w:val="24"/>
              </w:rPr>
            </w:pPr>
            <w:r>
              <w:rPr>
                <w:rFonts w:hint="eastAsia" w:ascii="宋体" w:hAnsi="宋体" w:eastAsia="宋体"/>
                <w:sz w:val="24"/>
                <w:szCs w:val="24"/>
              </w:rPr>
              <w:t>3、智能触控一体机制造厂商管理规范，履约能力强，须通过符合</w:t>
            </w:r>
            <w:r>
              <w:rPr>
                <w:rFonts w:ascii="宋体" w:hAnsi="宋体" w:eastAsia="宋体"/>
                <w:sz w:val="24"/>
                <w:szCs w:val="24"/>
              </w:rPr>
              <w:t>GB/T31863标准的履约能力达标测评认证证书，提供证书复印件并加盖厂商公章</w:t>
            </w:r>
            <w:r>
              <w:rPr>
                <w:rFonts w:hint="eastAsia" w:ascii="宋体" w:hAnsi="宋体" w:eastAsia="宋体"/>
                <w:sz w:val="24"/>
                <w:szCs w:val="24"/>
              </w:rPr>
              <w:t>；</w:t>
            </w:r>
            <w:r>
              <w:rPr>
                <w:rFonts w:ascii="宋体" w:hAnsi="宋体" w:eastAsia="宋体"/>
                <w:sz w:val="24"/>
                <w:szCs w:val="24"/>
              </w:rPr>
              <w:t>5A级得3分，4A级得1，其余不得分。</w:t>
            </w:r>
          </w:p>
          <w:p>
            <w:pPr>
              <w:spacing w:line="360" w:lineRule="auto"/>
              <w:rPr>
                <w:rFonts w:ascii="宋体" w:hAnsi="宋体" w:eastAsia="宋体"/>
                <w:sz w:val="24"/>
                <w:szCs w:val="28"/>
              </w:rPr>
            </w:pPr>
            <w:r>
              <w:rPr>
                <w:rFonts w:hint="eastAsia" w:ascii="宋体" w:hAnsi="宋体" w:eastAsia="宋体"/>
                <w:sz w:val="24"/>
                <w:szCs w:val="28"/>
              </w:rPr>
              <w:t>4、为了保障客户利益，降低项目风险，</w:t>
            </w:r>
            <w:r>
              <w:rPr>
                <w:rFonts w:hint="eastAsia" w:ascii="宋体" w:hAnsi="宋体" w:eastAsia="宋体"/>
                <w:sz w:val="24"/>
                <w:szCs w:val="24"/>
              </w:rPr>
              <w:t>智能触控一体机</w:t>
            </w:r>
            <w:r>
              <w:rPr>
                <w:rFonts w:hint="eastAsia" w:ascii="宋体" w:hAnsi="宋体" w:eastAsia="宋体"/>
                <w:sz w:val="24"/>
                <w:szCs w:val="28"/>
              </w:rPr>
              <w:t>制造商需具备较高的服务水平和技术水平，符合</w:t>
            </w:r>
            <w:r>
              <w:rPr>
                <w:rFonts w:ascii="宋体" w:hAnsi="宋体" w:eastAsia="宋体"/>
                <w:sz w:val="24"/>
                <w:szCs w:val="28"/>
              </w:rPr>
              <w:t>ITSS信息技术服务标准，提供ITSS信息技术服务标准运行维护证书并加盖原厂公章</w:t>
            </w:r>
            <w:r>
              <w:rPr>
                <w:rFonts w:hint="eastAsia" w:ascii="宋体" w:hAnsi="宋体" w:eastAsia="宋体"/>
                <w:sz w:val="24"/>
                <w:szCs w:val="28"/>
              </w:rPr>
              <w:t>；</w:t>
            </w:r>
            <w:r>
              <w:rPr>
                <w:rFonts w:ascii="宋体" w:hAnsi="宋体" w:eastAsia="宋体"/>
                <w:sz w:val="24"/>
                <w:szCs w:val="28"/>
              </w:rPr>
              <w:t>运行维护二级及以上得3分，三级得1分，</w:t>
            </w:r>
            <w:r>
              <w:rPr>
                <w:rFonts w:hint="eastAsia" w:ascii="宋体" w:hAnsi="宋体" w:eastAsia="宋体"/>
                <w:sz w:val="24"/>
                <w:szCs w:val="28"/>
              </w:rPr>
              <w:t>其余</w:t>
            </w:r>
            <w:r>
              <w:rPr>
                <w:rFonts w:ascii="宋体" w:hAnsi="宋体" w:eastAsia="宋体"/>
                <w:sz w:val="24"/>
                <w:szCs w:val="28"/>
              </w:rPr>
              <w:t>不得分。</w:t>
            </w:r>
          </w:p>
          <w:p>
            <w:pPr>
              <w:spacing w:line="360" w:lineRule="auto"/>
              <w:rPr>
                <w:rFonts w:ascii="宋体" w:hAnsi="宋体" w:eastAsia="宋体"/>
                <w:sz w:val="24"/>
                <w:szCs w:val="24"/>
              </w:rPr>
            </w:pPr>
            <w:r>
              <w:rPr>
                <w:rFonts w:ascii="宋体" w:hAnsi="宋体" w:eastAsia="宋体"/>
                <w:sz w:val="24"/>
                <w:szCs w:val="28"/>
              </w:rPr>
              <w:t>5</w:t>
            </w:r>
            <w:r>
              <w:rPr>
                <w:rFonts w:hint="eastAsia" w:ascii="宋体" w:hAnsi="宋体" w:eastAsia="宋体"/>
                <w:sz w:val="24"/>
                <w:szCs w:val="28"/>
              </w:rPr>
              <w:t>、为减小紧急突发事件带来的影响，</w:t>
            </w:r>
            <w:r>
              <w:rPr>
                <w:rFonts w:hint="eastAsia" w:ascii="宋体" w:hAnsi="宋体" w:eastAsia="宋体"/>
                <w:sz w:val="24"/>
                <w:szCs w:val="24"/>
              </w:rPr>
              <w:t>智能触控一体机</w:t>
            </w:r>
            <w:r>
              <w:rPr>
                <w:rFonts w:hint="eastAsia" w:ascii="宋体" w:hAnsi="宋体" w:eastAsia="宋体"/>
                <w:sz w:val="24"/>
                <w:szCs w:val="28"/>
              </w:rPr>
              <w:t>制造厂商须具备应急管理能力，提供</w:t>
            </w:r>
            <w:r>
              <w:rPr>
                <w:rFonts w:ascii="宋体" w:hAnsi="宋体" w:eastAsia="宋体"/>
                <w:sz w:val="24"/>
                <w:szCs w:val="28"/>
              </w:rPr>
              <w:t>ISO22320应急预案管理能力评价认证证书复印件并加盖产品厂商公章，满足得2分，不满足不得分。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仿宋"/>
                <w:bCs/>
                <w:color w:val="000000" w:themeColor="text1"/>
                <w:sz w:val="24"/>
                <w:szCs w:val="24"/>
              </w:rPr>
            </w:pPr>
            <w:r>
              <w:rPr>
                <w:rFonts w:hint="eastAsia" w:ascii="宋体" w:hAnsi="宋体" w:eastAsia="宋体" w:cs="宋体"/>
                <w:color w:val="000000" w:themeColor="text1"/>
                <w:kern w:val="1"/>
                <w:sz w:val="24"/>
                <w:szCs w:val="24"/>
              </w:rPr>
              <w:t>投标单位综合实力（5分）</w:t>
            </w:r>
          </w:p>
        </w:tc>
        <w:tc>
          <w:tcPr>
            <w:tcW w:w="70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000000" w:themeColor="text1"/>
                <w:sz w:val="24"/>
                <w:szCs w:val="24"/>
              </w:rPr>
            </w:pPr>
            <w:r>
              <w:rPr>
                <w:rFonts w:hint="eastAsia" w:ascii="宋体" w:hAnsi="宋体" w:eastAsia="宋体"/>
                <w:color w:val="000000" w:themeColor="text1"/>
                <w:kern w:val="0"/>
                <w:sz w:val="24"/>
                <w:szCs w:val="24"/>
              </w:rPr>
              <w:t>投标人具有3A企业信用等级认证证书，提供一个得1分，共5分。（提供相关证书复印件并加盖投标人公章。）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仿宋"/>
                <w:bCs/>
                <w:color w:val="000000" w:themeColor="text1"/>
                <w:sz w:val="24"/>
                <w:szCs w:val="24"/>
              </w:rPr>
            </w:pPr>
            <w:r>
              <w:rPr>
                <w:rFonts w:hint="eastAsia" w:ascii="宋体" w:hAnsi="宋体" w:eastAsia="宋体" w:cs="宋体"/>
                <w:color w:val="000000" w:themeColor="text1"/>
                <w:kern w:val="1"/>
                <w:sz w:val="24"/>
                <w:szCs w:val="24"/>
              </w:rPr>
              <w:t>培训方案(5分）</w:t>
            </w:r>
          </w:p>
        </w:tc>
        <w:tc>
          <w:tcPr>
            <w:tcW w:w="70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000000" w:themeColor="text1"/>
                <w:sz w:val="24"/>
                <w:szCs w:val="24"/>
              </w:rPr>
            </w:pPr>
            <w:r>
              <w:rPr>
                <w:rFonts w:hint="eastAsia" w:ascii="宋体" w:hAnsi="宋体" w:eastAsia="宋体" w:cs="宋体"/>
                <w:color w:val="000000" w:themeColor="text1"/>
                <w:kern w:val="0"/>
                <w:sz w:val="24"/>
                <w:szCs w:val="24"/>
              </w:rPr>
              <w:t>根据投标人提供的针对本项目的培训方案，有具体培训方案及检验培训成果方案,培训方案合理完整，内容详细，有针对性，可行性强，评定为优，得</w:t>
            </w:r>
            <w:r>
              <w:rPr>
                <w:rFonts w:ascii="宋体" w:hAnsi="宋体" w:eastAsia="宋体" w:cs="宋体"/>
                <w:color w:val="000000" w:themeColor="text1"/>
                <w:kern w:val="0"/>
                <w:sz w:val="24"/>
                <w:szCs w:val="24"/>
              </w:rPr>
              <w:t>5</w:t>
            </w:r>
            <w:r>
              <w:rPr>
                <w:rFonts w:hint="eastAsia" w:ascii="宋体" w:hAnsi="宋体" w:eastAsia="宋体" w:cs="宋体"/>
                <w:color w:val="000000" w:themeColor="text1"/>
                <w:kern w:val="0"/>
                <w:sz w:val="24"/>
                <w:szCs w:val="24"/>
              </w:rPr>
              <w:t>分；培训方案合理，内容较完整详细，针对性及可行性较强，评定为良，得</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分；培训方案简单，内容粗略，可行性一般，评定为一般的，得1分，无方案不得分。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kern w:val="1"/>
                <w:sz w:val="24"/>
                <w:szCs w:val="24"/>
              </w:rPr>
            </w:pPr>
            <w:r>
              <w:rPr>
                <w:rFonts w:hint="eastAsia" w:ascii="宋体" w:hAnsi="宋体" w:eastAsia="宋体" w:cs="宋体"/>
                <w:color w:val="000000" w:themeColor="text1"/>
                <w:kern w:val="1"/>
                <w:sz w:val="24"/>
                <w:szCs w:val="24"/>
              </w:rPr>
              <w:t>响应服务（5分）</w:t>
            </w:r>
          </w:p>
        </w:tc>
        <w:tc>
          <w:tcPr>
            <w:tcW w:w="70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 xml:space="preserve">评委根据投标文件提供的售后服务方案，根据服务体系、服务内容、故障解决方案、响应时间、专业技术人员保障及服务电话等进行横向对比打分，体系完善、内容完整、方案优秀得 </w:t>
            </w:r>
            <w:r>
              <w:rPr>
                <w:rFonts w:ascii="宋体" w:hAnsi="宋体" w:eastAsia="宋体" w:cs="宋体"/>
                <w:color w:val="000000" w:themeColor="text1"/>
                <w:sz w:val="24"/>
                <w:szCs w:val="24"/>
              </w:rPr>
              <w:t>5</w:t>
            </w:r>
            <w:r>
              <w:rPr>
                <w:rFonts w:hint="eastAsia" w:ascii="宋体" w:hAnsi="宋体" w:eastAsia="宋体" w:cs="宋体"/>
                <w:color w:val="000000" w:themeColor="text1"/>
                <w:sz w:val="24"/>
                <w:szCs w:val="24"/>
              </w:rPr>
              <w:t xml:space="preserve"> 分，内容完整、方案可行得 </w:t>
            </w:r>
            <w:r>
              <w:rPr>
                <w:rFonts w:ascii="宋体" w:hAnsi="宋体" w:eastAsia="宋体" w:cs="宋体"/>
                <w:color w:val="000000" w:themeColor="text1"/>
                <w:sz w:val="24"/>
                <w:szCs w:val="24"/>
              </w:rPr>
              <w:t>3</w:t>
            </w:r>
            <w:r>
              <w:rPr>
                <w:rFonts w:hint="eastAsia" w:ascii="宋体" w:hAnsi="宋体" w:eastAsia="宋体" w:cs="宋体"/>
                <w:color w:val="000000" w:themeColor="text1"/>
                <w:sz w:val="24"/>
                <w:szCs w:val="24"/>
              </w:rPr>
              <w:t xml:space="preserve"> 分，内容缺漏、方案一般得 1 分，无方案不得分。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835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备注：</w:t>
            </w:r>
          </w:p>
          <w:p>
            <w:pPr>
              <w:spacing w:line="360" w:lineRule="auto"/>
              <w:rPr>
                <w:rFonts w:ascii="宋体" w:hAnsi="宋体" w:eastAsia="宋体"/>
                <w:sz w:val="24"/>
                <w:szCs w:val="24"/>
              </w:rPr>
            </w:pPr>
            <w:r>
              <w:rPr>
                <w:rFonts w:hint="eastAsia" w:ascii="宋体" w:hAnsi="宋体" w:eastAsia="宋体"/>
                <w:sz w:val="24"/>
                <w:szCs w:val="24"/>
              </w:rPr>
              <w:t>1.以上所述“证书、证明、合同”等说明、证明资料须提供清晰复印件加盖供应商公章。</w:t>
            </w:r>
          </w:p>
          <w:p>
            <w:pPr>
              <w:pStyle w:val="3"/>
              <w:spacing w:line="360" w:lineRule="auto"/>
              <w:rPr>
                <w:rFonts w:ascii="宋体" w:hAnsi="宋体"/>
                <w:sz w:val="24"/>
                <w:szCs w:val="24"/>
              </w:rPr>
            </w:pPr>
            <w:r>
              <w:rPr>
                <w:rFonts w:hint="eastAsia" w:ascii="宋体" w:hAnsi="宋体"/>
                <w:sz w:val="24"/>
                <w:szCs w:val="24"/>
              </w:rPr>
              <w:t>2.供应商需尽可能多的提供相关的证明材料予以佐证；供应商自行承担因材料未提供或提供不全而影响评审结果的风险。</w:t>
            </w:r>
          </w:p>
          <w:p>
            <w:pPr>
              <w:pStyle w:val="3"/>
              <w:spacing w:line="360" w:lineRule="auto"/>
              <w:rPr>
                <w:rFonts w:ascii="宋体" w:hAnsi="宋体"/>
                <w:sz w:val="24"/>
                <w:szCs w:val="24"/>
              </w:rPr>
            </w:pPr>
            <w:r>
              <w:rPr>
                <w:rFonts w:hint="eastAsia" w:ascii="宋体" w:hAnsi="宋体"/>
                <w:sz w:val="24"/>
                <w:szCs w:val="24"/>
              </w:rPr>
              <w:t>3.所有复印件字迹须复印清晰可见,复印不全或字迹不清晰的，视为未提供。</w:t>
            </w:r>
          </w:p>
        </w:tc>
      </w:tr>
    </w:tbl>
    <w:p>
      <w:pPr>
        <w:spacing w:line="360" w:lineRule="auto"/>
        <w:rPr>
          <w:rFonts w:ascii="宋体" w:hAnsi="宋体" w:eastAsia="宋体"/>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8C"/>
    <w:rsid w:val="00065BE4"/>
    <w:rsid w:val="000D00A8"/>
    <w:rsid w:val="000F5896"/>
    <w:rsid w:val="001013CB"/>
    <w:rsid w:val="00162460"/>
    <w:rsid w:val="00192DDB"/>
    <w:rsid w:val="001D77C5"/>
    <w:rsid w:val="001E50A0"/>
    <w:rsid w:val="002B18DA"/>
    <w:rsid w:val="002D2071"/>
    <w:rsid w:val="002E740C"/>
    <w:rsid w:val="00302395"/>
    <w:rsid w:val="00357A87"/>
    <w:rsid w:val="003812EE"/>
    <w:rsid w:val="0042068A"/>
    <w:rsid w:val="00442F53"/>
    <w:rsid w:val="00450570"/>
    <w:rsid w:val="00454FE1"/>
    <w:rsid w:val="00480463"/>
    <w:rsid w:val="00497F61"/>
    <w:rsid w:val="004B20A0"/>
    <w:rsid w:val="004E17F0"/>
    <w:rsid w:val="005349B0"/>
    <w:rsid w:val="005561A3"/>
    <w:rsid w:val="00567F08"/>
    <w:rsid w:val="005D1612"/>
    <w:rsid w:val="005D7116"/>
    <w:rsid w:val="005E7D51"/>
    <w:rsid w:val="005F1AE9"/>
    <w:rsid w:val="00625B30"/>
    <w:rsid w:val="006434C6"/>
    <w:rsid w:val="00661F6B"/>
    <w:rsid w:val="006A0B60"/>
    <w:rsid w:val="006A7778"/>
    <w:rsid w:val="006E3F97"/>
    <w:rsid w:val="007616CA"/>
    <w:rsid w:val="00776AA2"/>
    <w:rsid w:val="0078646F"/>
    <w:rsid w:val="00795449"/>
    <w:rsid w:val="007D031C"/>
    <w:rsid w:val="007D661F"/>
    <w:rsid w:val="007E23FA"/>
    <w:rsid w:val="0080116D"/>
    <w:rsid w:val="00886613"/>
    <w:rsid w:val="008F4DE3"/>
    <w:rsid w:val="00937547"/>
    <w:rsid w:val="009E299E"/>
    <w:rsid w:val="00A06488"/>
    <w:rsid w:val="00A64D05"/>
    <w:rsid w:val="00A667EE"/>
    <w:rsid w:val="00A71AF4"/>
    <w:rsid w:val="00A853DD"/>
    <w:rsid w:val="00A90BE7"/>
    <w:rsid w:val="00AB2DB7"/>
    <w:rsid w:val="00B30598"/>
    <w:rsid w:val="00B46BEF"/>
    <w:rsid w:val="00B56F55"/>
    <w:rsid w:val="00B74D5F"/>
    <w:rsid w:val="00C006E1"/>
    <w:rsid w:val="00C073A9"/>
    <w:rsid w:val="00C356CB"/>
    <w:rsid w:val="00C76543"/>
    <w:rsid w:val="00CD5C50"/>
    <w:rsid w:val="00CE4470"/>
    <w:rsid w:val="00D32044"/>
    <w:rsid w:val="00D846AB"/>
    <w:rsid w:val="00D94AAC"/>
    <w:rsid w:val="00DC3552"/>
    <w:rsid w:val="00DF09B8"/>
    <w:rsid w:val="00E12455"/>
    <w:rsid w:val="00E15FF4"/>
    <w:rsid w:val="00E8698E"/>
    <w:rsid w:val="00EB4036"/>
    <w:rsid w:val="00EC028C"/>
    <w:rsid w:val="00ED4B3B"/>
    <w:rsid w:val="00F11B94"/>
    <w:rsid w:val="00F21C33"/>
    <w:rsid w:val="00F353CD"/>
    <w:rsid w:val="3B946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b/>
      <w:bCs/>
      <w:kern w:val="44"/>
      <w:sz w:val="44"/>
      <w:szCs w:val="44"/>
    </w:rPr>
  </w:style>
  <w:style w:type="character" w:customStyle="1" w:styleId="8">
    <w:name w:val="页脚 Char"/>
    <w:basedOn w:val="6"/>
    <w:link w:val="3"/>
    <w:qFormat/>
    <w:uiPriority w:val="99"/>
    <w:rPr>
      <w:rFonts w:ascii="Times New Roman" w:hAnsi="Times New Roman" w:eastAsia="宋体" w:cs="Times New Roman"/>
      <w:sz w:val="18"/>
      <w:szCs w:val="20"/>
    </w:rPr>
  </w:style>
  <w:style w:type="character" w:customStyle="1" w:styleId="9">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08CF24-72E4-4E28-A9D9-D9A1A05AA08F}">
  <ds:schemaRefs/>
</ds:datastoreItem>
</file>

<file path=docProps/app.xml><?xml version="1.0" encoding="utf-8"?>
<Properties xmlns="http://schemas.openxmlformats.org/officeDocument/2006/extended-properties" xmlns:vt="http://schemas.openxmlformats.org/officeDocument/2006/docPropsVTypes">
  <Template>Normal</Template>
  <Pages>9</Pages>
  <Words>1161</Words>
  <Characters>6621</Characters>
  <Lines>55</Lines>
  <Paragraphs>15</Paragraphs>
  <TotalTime>218</TotalTime>
  <ScaleCrop>false</ScaleCrop>
  <LinksUpToDate>false</LinksUpToDate>
  <CharactersWithSpaces>7767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2022-03-01T03:11:00Z</dcterms:created>
  <dc:creator>庆凯</dc:creator>
  <cp:lastModifiedBy>左其阳</cp:lastModifiedBy>
  <dcterms:modified xsi:type="dcterms:W3CDTF">2022-03-02T02:08:38Z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D4594900995849AFB318F423F7641E35</vt:lpwstr>
  </property>
</Properties>
</file>